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INDUSTRIA Y POSICIONAMIENTO COMPETITIVO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A: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Pipeline de GLA 2026-2028: orgánico vs adquisiciones (m²)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reportes 2Q26 y Memoria 2025 de Plaza S.A.; Parque Arauco Investor Presentation 2Q26; Cenco Malls Corporate Presentation 2Q26. Solo proyectos con fecha.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Participación de mercado dentro del trío en Chile, 2T22-2T26 (% del GLA)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43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reportes de resultados 2T22-2T26 de las tres empresas;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Tasa de ocupación consolidada, 2T22-2T26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Fuente: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reportes de resultados 2T22-2T26 de las tres empresas. Cada empresa define la ocupación distinto; Mallplaza incluye Open Plaza desde 2T25.</w:t>
            </w:r>
          </w:p>
        </w:tc>
      </w:tr>
    </w:tbl>
    <w:p>
      <w:pPr>
        <w:spacing w:after="30" w:before="1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Anexo D: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Cinco fuerzas de Porter por país y evidencia principal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620"/>
        <w:gridCol w:w="620"/>
        <w:gridCol w:w="800"/>
        <w:gridCol w:w="620"/>
        <w:gridCol w:w="6306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Fuerza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Chile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Perú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Colombia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Final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Evidencia principal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Rivalidad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CR3 76% / 37% / 13%; carrera de reinversión en experiencia; compra de activos (Minka, Plaza Central; anunciadas Quilín y Chicureo); oferta sobre consumo en 2027-28. Participaciones estables y márgenes de 71-90%.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Nuevos entrantes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Capital intensivo (USD 613 MM por 170.200 m² en Mallplaza); bancos de terrenos de incumbentes; Perú y Colombia menos concentrados; Colombia con mayoría de malls en propiedad horizontal.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Poder de los locatarios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Ocupación Chile 96-99%; contratos de 5,0-8,7 años promedio; top 5 = 18% de ingresos de Mallplaza; SSR Chile sobre IPC (6,9% vs 4,8%, 1T23-2T26); tiendas por departamento 19,0% del GLA.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Poder de los proveedores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Gasto común traspasado al locatario (Memoria 2025, nota 2.20); costo de ventas 6,2% de ingresos de Mallplaza.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Sustitutos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93% del ingreso por arriendo de Mallplaza es fijo; visitas 2T26 +4,4% Chile, +1,3% Perú, +2,5% Colombia; giro a experiencia. Sin datos oficiales de e-commerce por país.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 w:val="false"/>
          <w:iCs w:val="false"/>
          <w:color w:val="5F5F5F"/>
          <w:sz w:val="11"/>
          <w:szCs w:val="11"/>
        </w:rPr>
        <w:t xml:space="preserve">Fuente: </w:t>
      </w: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análisis del equipo. Escala 1-5 en números enteros; nota final = promedio ponderado por GLA de Mallplaza al 2Q26 (Chile 61,9%, Perú 26,2%, Colombia 11,9%), redondeado al entero. En nuevos entrantes el ponderado queda en el límite (1,5) y el equipo lo fija en 2 por las menores barreras de entrada en Perú y Colombia. Detalle y fuentes por dato en Porter_industria_2Q26.xlsx.</w:t>
      </w:r>
    </w:p>
    <w:p>
      <w:pPr>
        <w:spacing w:after="30" w:before="1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Anexo E: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Supuestos principales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966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Tema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Market share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Medido por GLA (no por ventas) sobre los principales operadores de cada país (slide 7, Presentación Institucional 2Q26). HHI parcial: es un piso.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Pipeline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proyectos con fecha en reportes oficiales al 2Q26 y Memoria 2025; fechas en rango al final del rango; las adquisiciones no son oferta nueva para la industria.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Oferta vs demanda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Solo Chile y solo m² que dependen del consumo (excluye oficinas y multifamily); GLA base sin las oficinas de Cenco. El consumo privado del IPoM sep-2026 se usa como indicador de demanda, no como proyección de ventas.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EBITDA por m²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según la definición de cada empresa (ninguna incluye la revalorización bajo NIC 40); EBITDA del 2T26 sin anualizar; GLA consolidado al 100% de los activos controlados.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Contratos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Perfil y duración ponderados por GLA: explícito en Cenco y en el perfil de Parque Arauco; supuesto para Mallplaza.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Ventas reales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Ventas de locatarios en Chile 2T26 vs 2T25 deflactadas con el IPC a 12 meses de junio 2026 (4,3%; INE, comunicado del 08-07-2026). Cenco 2T25 calculado desde su variación publicada (−1,9%).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Fechas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Datos de empresas al 30-jun-2026; proyecciones macro del IPoM de septiembre 2026 por ser las vigentes más recientes.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38682b6a2423995622f6a04ae6a9ebde6b1b73c.png"/><Relationship Id="rId10" Type="http://schemas.openxmlformats.org/officeDocument/2006/relationships/image" Target="media/ff2104c08e4ce6fa65fd948e42737135974bf6c7.png"/><Relationship Id="rId11" Type="http://schemas.openxmlformats.org/officeDocument/2006/relationships/image" Target="media/68d45e370e4ab8a3c4bafdcf440cb34d293a925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2026-10-14T18:40:36.831Z</dcterms:created>
  <dcterms:modified xsi:type="dcterms:W3CDTF">2026-10-14T18:40:36.831Z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