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ANEXOS: DESCRIPCIÓN DEL NEGOCIO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rPr>
          <w:cantSplit/>
        </w:trP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Anexo A: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Activos Tier A por GLA, 2T26 (miles de m²)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2238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5F5F5F"/>
                <w:sz w:val="11"/>
                <w:szCs w:val="11"/>
              </w:rPr>
              <w:t xml:space="preserve">Fuente: </w:t>
            </w:r>
            <w:r>
              <w:rPr>
                <w:rFonts w:ascii="Arial" w:cs="Arial" w:eastAsia="Arial" w:hAnsi="Arial"/>
                <w:i/>
                <w:iCs/>
                <w:color w:val="5F5F5F"/>
                <w:sz w:val="11"/>
                <w:szCs w:val="11"/>
              </w:rPr>
              <w:t xml:space="preserve">Plaza S.A., Presentación Institucional 2Q26 (p.12). Tier A = 46,4% del GLA total.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Anexo B: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Tiendas por departamento, % del GLA total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5F5F5F"/>
                <w:sz w:val="11"/>
                <w:szCs w:val="11"/>
              </w:rPr>
              <w:t xml:space="preserve">Fuente: </w:t>
            </w:r>
            <w:r>
              <w:rPr>
                <w:rFonts w:ascii="Arial" w:cs="Arial" w:eastAsia="Arial" w:hAnsi="Arial"/>
                <w:i/>
                <w:iCs/>
                <w:color w:val="5F5F5F"/>
                <w:sz w:val="11"/>
                <w:szCs w:val="11"/>
              </w:rPr>
              <w:t xml:space="preserve">Plaza S.A., Presentación Institucional 2Q26 (p.17).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A-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609d9854ebb5b18f53a96249b39f91c7e2c04ad.png"/><Relationship Id="rId10" Type="http://schemas.openxmlformats.org/officeDocument/2006/relationships/image" Target="media/3b142e586c3e5210e292c0bd5ee719159683478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2026-10-14T18:40:35.816Z</dcterms:created>
  <dcterms:modified xsi:type="dcterms:W3CDTF">2026-10-14T18:40:35.816Z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