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El 81,4% de sus ingresos son arriendos y el 93% de ellos es renta fija reajustada en UF en Chile; el margen EBITDA de los últimos doce meses (UDM) es 80,5%. Es un negocio excelente, pero a CLP 3.555 (30-sep-26) el mercado valora sus flujos con una prima de solo ~200 pb sobre la tasa real soberana. Ponderando 80% un DCF (CLP 1.859) y 20% los múltiplos de pares (CLP 2.951), el precio objetivo es CLP 2.077 (−41,6% frente al precio) y recomendamos VENDER. El desacuerdo con el mercado no está en los flujos, sino en la tasa de descuento: el precio exige una WACC nominal en CLP de 7,60% (4,5% real, en UF), 281 pb bajo nuestra WACC nominal de 10,41% (7,2% real), y un cap rate real (EBITDA UDM sobre valor de empresa) de 6,0% frente al 10,1% que implican nuestros flujos. Crecer no rescata el precio: el retorno real después de impuestos sobre el costo de un m² nuevo (RONIC) es 5,3%, bajo la WACC real de 7,2%. Ni el escenario bull, en que todo sale bien (CLP 2.915), ni la tasa de los tasadores (CLP 2.734) alcanzan la cotización. Lo que rompería la tesis es una nueva compresión de las tasas largas o una prima estructural por los activos Tier A; un alza de tasas, en cambio, la refuerza.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2.077</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crecen en términos reales. En Chile el arriendo en mismas tiendas (SSR, nominal) aumentó 6,5% UDM frente a un IPC de 4,3% a 12 meses a junio (1T23–2T26: SSR promedio de 6,9% frente a una inflación de 4,8%), sin que los locatarios lo resientan: el costo de ocupación consolidado (arriendo sobre ventas de los locatarios) es apenas 9,9%, casi igual que un año antes (9,7%).</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renovado.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(supermercados, mejoramiento del hogar, servicios públicos, salud), que generan visitas frecuentes, y otro 21,5% a retail de especialidad. Ningún cliente domina los ingresos, ya que los cinco mayores locatarios suman 18% y las empresas relacionadas, 15,7%. A esto se suma una estructura de costos reducida: costo de ventas de 6,2% de los ingresos y gastos de administración de 13,9%, que dejan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se concentra en sus mejores activos. Diez centros, siete en Chile, dos en Colombia y uno en Perú, son Tier A, y con 46,4% del GLA generan más del 60% del EBITDA (Anexo 1). Hacia ellos apunta la inversión, pues las ampliaciones en construcción de Trébol, Oeste, Norte, Trujillo y La Serena buscan aumentar el peso de los activos Tier A. Es un activo excelente; la pregunta siguiente es cuán defendible es su posición frente a la competencia.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por GLA y no por ventas. No existe un GLA total de la industria: usamos el de los principales operadores de cada país, y bajo esa óptica Mallplaza, Cenco Malls (antes Cencosud Shopping) y Parque Arauco (el trío) administran en conjunto 3,4 millones de m² en Chile (3,29 millones sin oficinas).</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2T26</w:t>
            </w:r>
          </w:p>
          <w:p>
            <w:pPr>
              <w:keepNext w:val="false"/>
              <w:spacing w:after="20" w:before="0" w:line="240" w:lineRule="auto"/>
              <w:jc w:val="center"/>
            </w:pPr>
            <w:r>
              <w:drawing>
                <wp:inline distT="0" distB="0" distL="0" distR="0">
                  <wp:extent cx="22574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3811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índice de concentración HHI parcial alcanza al menos 2.126 puntos, propio de un mercado altamente concentrado, con Mallplaza como líder (33%) seguido de Cenco Malls (29%) y Parque Arauco (14%). En Perú y Colombia, en cambio, el trío reúne apenas el 37% y el 13% del GLA, el liderazgo lo ejerce un operador externo con 29% y 9%, respectivamente, y Mallplaza ocupa el segundo lugar en ambos mercados. En Perú ese líder es Real Plaza (InRetail), con 888.000 m² frente a 618.093 m² de Mallplaza, pero Mallplaza genera más EBITDA por m² (S/ 159 frente a S/ 148 de Real Plaza en el 2T26). La fragmentación es mayor en Colombia, donde la mayoría de los centros comerciales es de propiedad horizontal, lo que obliga a los operadores profesionales a crecer comprando activos de dueño único, como hará Mallplaza con Gran Plaza (179.667 m², adquisición anunciada).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POR DEBAJO DEL CONSUMO, CON PRESIÓN CONCENTRADA EN 2027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5,1% del GLA de los principales operadores en Chile. Ese GLA (≈4,3 millones de m²) resulta de dividir el GLA del trío sin oficinas (3,29 millones) por su participación de 76% (supuestos en el Anexo 7); medir la oferta sobre el GLA del propio trío (6,7%) sobrestimaría la presión, porque excluye a los demás operadores. La cifra excluye las oficinas y el multifamily, que no dependen del consumo, y las adquisiciones, que solo cambian de dueño (detalle en el Anexo 3). En el mismo período el Banco Central proyecta un crecimiento real acumulado de 6,4% del consumo privado (Figura 3), de modo que la oferta nueva avanza por debajo de la demanda esperada. El calendario no es parejo: 2026 casi no suma metros (+0,2%) y la presión se concentra en 2027, cuando la oferta (+2,2%) apenas supera al consumo (+2,1%); en 2028 vuelve a quedar bajo él (+2,6% frente a +2,7%). Solo medimos la oferta del trío, cuyo pipeline es público: si los demás operadores abren m² adicionales, la presión sería mayor.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débil: en el 2T26 las ventas reales de los locatarios del trío en Chile cayeron 2,5% a/a. Mallplaza fue la única que creció en términos reales (+1,0%), frente a las caídas de Parque Arauco (−1,7%) y Cenco Malls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(nominales, en moneda local).</w:t>
      </w:r>
    </w:p>
    <w:tbl>
      <w:tblPr>
        <w:tblpPr w:leftFromText="0" w:rightFromText="0" w:topFromText="0" w:bottomFromText="0" w:tblpX="7956" w:tblpY="-98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del 2T26 de Plaza S.A., Parque Arauco y Cenco Malls; Banco Central de Chile, IPoM sep-2026 (Tabla II.1); análisis del equipo. Solo GLA orgánico que depende del consumo.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de 71% a 90% en los tres operadores.</w:t>
      </w:r>
    </w:p>
    <w:tbl>
      <w:tblPr>
        <w:tblpPr w:leftFromText="0" w:rightFromText="0" w:topFromText="0" w:bottomFromText="0" w:tblpX="7956" w:tblpY="148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del 2T26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No hay señales de guerra de precios, ya que en el 2T26 los tres operadores subieron sus arriendos nominales en mismas tiendas en Chile (Mallplaza +5,4%, Parque Arauco +3,8% y Cenco Malls +0,8%, este último afectado por un menor arriendo variable ligado a las ventas), con una ocupación de 96-99% en Chile (tres operadores, 2T26) que no deja espacio vacío que llenar con descuentos (Anexo 6, tabla B). Mallplaza destina más de la mitad de su GLA a formatos no tradicionales, experiencia y entretención, Cenco Malls abrió QINTO (30.000 m² de gastronomía) y Parque Arauco suma pisos gastronómicos en Kennedy, y la competencia por comprar activos se intensifica (Minka y Plaza Central cambiaron de dueño; Parque Arauco anunció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Malls,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de los tres operadores en Chile llega a 96-99% (2T26),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TIENE EL M² MÁS PRODUCTIVO DEL TRÍO, PERO POR POCO</w:t>
      </w:r>
    </w:p>
    <w:tbl>
      <w:tblPr>
        <w:tblpPr w:leftFromText="0" w:rightFromText="0" w:topFromText="0" w:bottomFromText="0" w:tblpX="7956" w:tblpY="32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2T26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tiene el mayor EBITDA por m² del trío: CLP 59.451 en el 2T26 (trimestral, sin anualizar), frente a 58.384 de Cenco Malls y 55.363 de Parque Arauco, ajustado por su NOI multifamily (55.738 sin ajuste; Figura 5). La ventaja es de 1,8% sobre Cenco Malls y 7,4% sobre Parque Arauco. Nace de ubicaciones urbanas de alto tráfico, que en Chile recibieron 52,7 millones de visitas en el trimestre frente a 32,5 millones en Cenco Malls, y de ventas mensuales por m² 5,8% mayores que un año antes. La brecha con Cenco Malls es estrecha y en parte se explica porque Cenco Malls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Malls (8,7 años) y Parque Arauco (5,0 años) con un equilibrio útil, porque asegura ingresos suficientes para atravesar la presión de oferta de 2027 y, al mismo tiempo, deja un 15,1% del GLA con vencimiento antes de dos años para reajustar arriendos si la demanda acompaña.</w:t>
      </w:r>
    </w:p>
    <w:tbl>
      <w:tblPr>
        <w:tblpPr w:leftFromText="0" w:rightFromText="0" w:topFromText="0" w:bottomFromText="0" w:tblpX="7956" w:tblpY="54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alcanzará al consumo en 2027, ganarán participación y rentabilidad los operadores con los activos más productivos y los contratos más estables. Mallplaza lidera en escala en Chile y, aunque por poco, en productividad por m², y es el único del trío con ventas reales crecientes (2T26): su posición es defendible, pero la ventaja es pequeña.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Más allá del negocio, el enfoque ESG de PLAZA atraviesa sus decisiones y busca, además de contribuir a un desarrollo sostenible, acceder a beneficios financieros propios y externos. Bloomberg califica a la empresa con 3,39 puntos, bajo la media global de la industria (5-6 puntos) y bajo su competencia directa en Chile (figura 7); esto se compensa en parte con su perfil «verde» local, pues figura entre las principales empresas inmobiliarias de la región.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la operación, el sistema de gestión de la energía (SGE) certificado ISO 50001 mejora el desempeño energético y reduce costos operativos. Entre los beneficios externos locales: Perú reconoce a la empresa con 2 de 4 estrellas en «Huella de Carbono Perú», lo que facilita permisos y licencias; y Colombia, con la ley 2.099 de 2021, otorga descuentos de renta por inversiones ambientales. Además, la empresa mantiene certificaciones y participa en índices como el DJSI MILA (figura 7).</w:t>
      </w:r>
      <w:r>
        <w:rPr>
          <w:rFonts w:ascii="Arial" w:cs="Arial" w:eastAsia="Arial" w:hAnsi="Arial"/>
          <w:i w:val="false"/>
          <w:iCs w:val="false"/>
          <w:color w:val="1A1A1A"/>
          <w:sz w:val="16"/>
          <w:szCs w:val="16"/>
        </w:rPr>
        <w:t xml:space="preserve"> La figura 12 estima, como escenario y no como dato, que los ahorros operativos ESG suman unos CLP 2 por acción y que una rebaja de 25 pb en el costo de la deuda y del capital propio aportaría CLP 72 por acción, frente a los CLP 1.478 que separan el precio objetivo del precio. El efecto ESG sobre el valor es, por lo tanto, marginal; lo relevante para la tesis es el gobierno corporativo (ver más abajo).</w:t>
      </w:r>
    </w:p>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una gestión operativa eficiente, sustentable y circular, basada en la mejora continua del desempeño ambiental, que se traduce en menores costos de operación. Tiene tres focos: eficiencia energética e hídrica, huella de carbono y gestión de residuos. Su principal objetivo es la carbono neutralidad: ser Net Zero en emisiones directas e indirectas en 2035 (65,6% de avance a 2025).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reducir 22% la intensidad energética del gasto común al 2035 (35,5% de avance a 2025; figura 8) y alcanzar 100% de electricidad renovable en 2026 (89,3% de avance). En 2025 el consumo anual fue 0,16 MWh/m² de GLA, de los cuales 0,14 renovable y 0,014 no renovable (figura 9). </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reducir 30% el consumo directo de agua a 2025, meta cumplida en 100,9% gracias en parte a sus certificaciones LEED y EDGE; en 2025 el consumo anual promedio fue 0,77 m³/m² de GLA y 0,66 m³/m²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eliminar 100% del uso de HCFC al 2030 (14,9% de avance a 2025), clave para la gestión de emisiones de GEI, ámbito en que Bloomberg reconoce a PLAZA como líder de la industria global (un componente distinto del puntaje ESG total).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valorizar 60% de los residuos generados en 2025 (46,2% valorizado, 77% de la meta; figura 9 y Anexo 8, figura A8.4) y desviar 75% de los residuos sólidos de los vertederos al 2027; informa haber eliminado 97% de los plásticos de un solo uso. </w:t>
      </w:r>
      <w:r>
        <w:rPr>
          <w:rFonts w:ascii="Arial" w:cs="Arial" w:eastAsia="Arial" w:hAnsi="Arial"/>
          <w:b/>
          <w:bCs/>
          <w:i w:val="false"/>
          <w:iCs w:val="false"/>
          <w:color w:val="14284B"/>
          <w:sz w:val="16"/>
          <w:szCs w:val="16"/>
        </w:rPr>
        <w:t xml:space="preserve">Gestión climática: </w:t>
      </w:r>
      <w:r>
        <w:rPr>
          <w:rFonts w:ascii="Arial" w:cs="Arial" w:eastAsia="Arial" w:hAnsi="Arial"/>
          <w:i w:val="false"/>
          <w:iCs w:val="false"/>
          <w:color w:val="1A1A1A"/>
          <w:sz w:val="16"/>
          <w:szCs w:val="16"/>
        </w:rPr>
        <w:t xml:space="preserve">adopta las recomendaciones TCFD para integrar riesgos físicos y de transición, con due diligence ambiental en las adquisiciones, bajo un programa de cumplimiento alineado con la ISO 14001 y monitoreado por el comité de sustentabilidad.</w:t>
      </w:r>
    </w:p>
    <w:tbl>
      <w:tblPr>
        <w:tblpPr w:leftFromText="0" w:rightFromText="0" w:topFromText="0" w:bottomFromText="0" w:tblpX="7956" w:tblpY="-15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17621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621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956" w:tblpY="19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Ahorros ESG y menor costo de capital frente al precio de la acción (escenario).</w:t>
            </w:r>
          </w:p>
          <w:p>
            <w:pPr>
              <w:keepNext w:val="false"/>
              <w:spacing w:after="20" w:before="0" w:line="240" w:lineRule="auto"/>
              <w:jc w:val="center"/>
            </w:pPr>
            <w:r>
              <w:drawing>
                <wp:inline distT="0" distB="0" distL="0" distR="0">
                  <wp:extent cx="1619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ámbito social se articula en un modelo de relación ética de largo plazo (Anexo 8, figura A8.3) y de creación de valor compartido, que pone en el centro a los grupos de interés, alineado con la ISO 45001 y las directrices de la OIT; en 2025 se incorporó el programa de detección y respuesta ante riesgos de la política de derechos humanos. PLAZA gestiona a sus grupos de interés con diálogos comunitarios, evaluaciones de materialidad y encuestas de cultura organizacional (Anexo 8, sección 5), y cuenta con un canal de integridad para incidencias sociales; CADEM la ubicó en el puesto 31 de 385 «Marcas Ciudadanas» y primera en la categoría «Centros Comerciales» (2026). Los empleados reciben capacitación y programas para quienes se acercan a la jubilación, y se evalúa a los proveedores con criterios de sostenibilidad (55,3% de los regionales y 38,4% de los extranjeros). Con los arrendatarios mantiene un modelo de relacionamiento centrado en la propuesta de valor y la experiencia; su satisfacción, medida con el NPS, subió a 13 puntos en 2025 (figura 10). Cada centro tiene manuales de emergencia y realiza simulacros (52 en 2025), y PLAZA implementó la ISO/IEC 27001 en seguridad de la información.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diversidad, las mujeres son 53,2% de la fuerza laboral y ocupan 42% de los cargos directivos (figura 10), pero persiste una brecha salarial de género de 28% en promedio regional y el Directorio tiene una sola mujer entre 9 directores. La meta al 2028 es que 60% de los establecimientos estén certificados como espacios inclusivos, y PLAZA obtuvo el «Sello Mayor» en uno de sus centros, el primero de Chile, que certifica la adaptación física y operacional para personas mayores. Al expandirse, construir bajo esos parámetros evita costos futuros de adaptación y permite iniciar la transición de los centros existentes.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por los principios del G20 y de la OCDE y está alineado con la NCG 461 de la CMF, con el fin de asegurar transparencia, control de riesgos y seguimiento de la estrategia y de los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el Directorio tiene 9 miembros y solo uno es independiente (menos de 50%), lo que genera riesgo de agencia (figura 11 y Anexo 8, figura A8.2) y es el único factor desfavorable de la matriz de riesgo ESG (Anexo 8, figura A8.5). Define objetivos, estrategia y políticas; el comité de directores (3 integrantes) revisa los estados financieros y mitiga los riesgos de agencia, y ambos supervisan la gestión de riesgos que dirigen el comité ejecutivo y el gerente general. En el segundo semestre de 2025 el gerente general Fernando de Peña Iver renunció con efecto al cierre del año, y en 2026 asumió Pablo Pulido Sierra. </w:t>
      </w:r>
      <w:r>
        <w:rPr>
          <w:rFonts w:ascii="Arial" w:cs="Arial" w:eastAsia="Arial" w:hAnsi="Arial"/>
          <w:b/>
          <w:bCs/>
          <w:i w:val="false"/>
          <w:iCs w:val="false"/>
          <w:color w:val="14284B"/>
          <w:sz w:val="16"/>
          <w:szCs w:val="16"/>
        </w:rPr>
        <w:t xml:space="preserve">Compensación ejecutiva: </w:t>
      </w:r>
      <w:r>
        <w:rPr>
          <w:rFonts w:ascii="Arial" w:cs="Arial" w:eastAsia="Arial" w:hAnsi="Arial"/>
          <w:i w:val="false"/>
          <w:iCs w:val="false"/>
          <w:color w:val="1A1A1A"/>
          <w:sz w:val="16"/>
          <w:szCs w:val="16"/>
        </w:rPr>
        <w:t xml:space="preserve">33,3% de la remuneración variable de los ejecutivos depende de KPIs ESG y 61% de métricas no financieras (figura 11), lo que alinea los incentivos con las metas ESG. </w:t>
      </w:r>
      <w:r>
        <w:rPr>
          <w:rFonts w:ascii="Arial" w:cs="Arial" w:eastAsia="Arial" w:hAnsi="Arial"/>
          <w:b/>
          <w:bCs/>
          <w:i w:val="false"/>
          <w:iCs w:val="false"/>
          <w:color w:val="14284B"/>
          <w:sz w:val="16"/>
          <w:szCs w:val="16"/>
        </w:rPr>
        <w:t xml:space="preserve">Accionistas: </w:t>
      </w:r>
      <w:r>
        <w:rPr>
          <w:rFonts w:ascii="Arial" w:cs="Arial" w:eastAsia="Arial" w:hAnsi="Arial"/>
          <w:i w:val="false"/>
          <w:iCs w:val="false"/>
          <w:color w:val="1A1A1A"/>
          <w:sz w:val="16"/>
          <w:szCs w:val="16"/>
        </w:rPr>
        <w:t xml:space="preserve">el control es concentrado: Falabella S.A., por medio de Desarrollos Inmobiliarios SpA, posee 53,1% de las acciones (Anexo 8, figura A8.1); los minoritarios con 1% pueden proponer candidatos a director, y la junta de accionistas elige al directorio y a los auditores externos y aprueba la política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código de integridad y el modelo de prevención del delito guían la conducta; PLAZA opera la plataforma Autocompliance (reuniones con funcionarios públicos, regalos e invitaciones) y un canal de integridad confidencial. En 2025 reportó casos de incumplimiento y denuncias a nivel regional, relacionados con trabajadores y clientes, pero ninguno de corrupción ni contra el desarrollo del mercado (Anexo 8, sección 3). El comité de directores supervisa una auditoría interna que le reporta cada mes y designa a los auditores externos y a las clasificadoras de riesgo. </w:t>
      </w:r>
      <w:r>
        <w:rPr>
          <w:rFonts w:ascii="Arial" w:cs="Arial" w:eastAsia="Arial" w:hAnsi="Arial"/>
          <w:b/>
          <w:bCs/>
          <w:i w:val="false"/>
          <w:iCs w:val="false"/>
          <w:color w:val="14284B"/>
          <w:sz w:val="16"/>
          <w:szCs w:val="16"/>
        </w:rPr>
        <w:t xml:space="preserve">Relevancia para la tesis: </w:t>
      </w:r>
      <w:r>
        <w:rPr>
          <w:rFonts w:ascii="Arial" w:cs="Arial" w:eastAsia="Arial" w:hAnsi="Arial"/>
          <w:i w:val="false"/>
          <w:iCs w:val="false"/>
          <w:color w:val="1A1A1A"/>
          <w:sz w:val="16"/>
          <w:szCs w:val="16"/>
        </w:rPr>
        <w:t xml:space="preserve">pesa el gobierno, no los ahorros ESG. Con Falabella como controlador, empresas relacionadas que aportan 15,7% de los ingresos y un directorio con un solo independiente, la pregunta es si la expansión, cuyo retorno es menor que su costo de capital, beneficia más al controlador que al minoritario (ver Valuación y Riesgos, RR1).</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ROE sobre utilidad distribuible de 8–10% (no es el retorno del accionista); el reportado sigue a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660</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 Malls) elevó la utilidad atribuible a CLP 1.431 mil MM (2,2 veces los ingresos) y el ROE reportado a 37,5% (Figura 13). Cerca de dos tercios del alza de 29% del valor de las propiedades en Chile vino de una menor tasa de descuento real de la tasación (de 6,62% a 5,64%, Nota 11), no de un mayor NOI (Anexo 11C).</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con el mismo ajuste que aplicamos a los pares sería 10,0%, el más alto de los tres (Anexo 14). El FFO, que reconstruimos desde los estados financieros con 0,02% de diferencia frente a los CLP 405 mil MM reportados (Figura 14),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0,097x y un apalancamiento contable de 1,77x. No es el retorno del accionista: el denominador es un patrimonio a valor de tasación, y cada revalorización aumenta su valor contable sin generar flujos de caja, porque es una variación de valor razonable no monetaria que no entra al FFO ni a los dividendos. Por eso proyectamos un ROE normalizado de 8–9%, que solo sube con el apalancamiento.</w:t>
      </w:r>
    </w:p>
    <w:tbl>
      <w:tblPr>
        <w:tblpPr w:leftFromText="0" w:rightFromText="0" w:topFromText="0" w:bottomFromText="0" w:tblpX="7956" w:tblpY="-6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 residuos: 46,2% valorizado sobre la meta de 60% (cálculo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(Anexo 11C).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nominal de 7,4% en 1S26 baja a ~3,0% real (Figura 15): Chile 2,8% (UF +3,1%), Perú 4,5% (ocupación 93,8%) y Colombia ~1% sin la apreciación del COP (7,5%) ni la inflación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nuestra lectura, el crecimiento depende más de los contratos que de las ventas: la renta variable es 5,1% de los ingresos de 1S26 y cayó 1,1% aunque las ventas de los locatarios siguieron creciendo, porque las rentas mínimas crecen más que las ventas. Tampoco es un bono: 15,1% del GLA vence antes de dos años, la solvencia de los locatarios importa y el crecimiento real converge a los puntos medios de la tasación (0,4–0,9% anual).</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espacio adicional parece acotado</w:t>
      </w:r>
    </w:p>
    <w:tbl>
      <w:tblPr>
        <w:tblpPr w:leftFromText="0" w:rightFromText="0" w:topFromText="0" w:bottomFromText="0" w:tblpX="7956" w:tblpY="26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la extrapolamos.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costos operativos (costo de ventas más administración) fueron 20,1% de los ingresos en 2025 e incluyen la D&amp;A (0,55%): 20,1% − 0,55% = 19,5% = 1 − margen EBITDA (Anexo 11). Si fueran fijos, una caída de 1% de los ingresos restaría 1,24% al EBITDA (1,1% si la mitad fuera variable). En 1S26 el EBITDA creció 7,4%, en línea con los ingresos, y el margen se mantuvo en 79,7%. Los gastos de administración subieron 18,1% por remuneraciones (+18,9%: transición del gerente general y un año completo de Perú), incobrables que se normalizan desde una base 2025 favorecida por recuperaciones y un impuesto al patrimonio único en Colombia de CLP 1,7 mil MM. Sin estos dos últimos, el margen de 1S26 sería 80,4%.</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antes de deuda y 1,8x después de amortizarla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El impuesto pagado fue solo 15% del resultado operacional, protegido por goodwill tributario y pérdidas tributarias (Nota 13), y subirá hacia la tasa legal de 27%. Después de capex e intereses netos (CLP 57 mil MM), el FCF antes de deuda fue CLP 280 mil MM y cubrió los dividendos 2,6x (Figura 16); 1,8x tras amortizar deuda neta (Anexo 10D).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alza de CLP 71,9 mil MM (+38,6%) del flujo operativo de 1S26 viene en 78% de mayores cobros (en parte saldos de diciembre: días de cobro de 66 a 50) y en 15% de menores impuestos pagados; no la extrapolamos.</w:t>
      </w:r>
    </w:p>
    <w:tbl>
      <w:tblPr>
        <w:tblpPr w:leftFromText="0" w:rightFromText="0" w:topFromText="0" w:bottomFromText="0" w:tblpX="7956" w:tblpY="40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y el covenant (DFN/patrimonio ≤ 2,0x; 0,26x a junio) no la restringe: la caja retenida fue CLP 171,6 mil MM en 2025. En el caso base, el FFO sube de CLP 428,5 mil MM en 2026E a 512,6 mil MM en 2031E y los dividendos ordinarios de CLP 147,7 a 176,5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579 MM restantes del pipeline con fecha en 2026–2028 (incluye USD 134 MM de otros proyectos en Chile) y luego agrega cerca de 27.000 m² al año, el ritmo orgánico de 2022–2025: el capex total se estabiliza cerca de 16% de los ingresos, 5,5% de mantención y ~11% incremental.</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17). Los indicadores de flujo respaldan el alza de la calificación local de Feller Rate a AAA (25 de septiembre de 2026), pero de la baja de la DFN/EBITDA de 3,78x a 2,36x, 0,75x es perímetro (Perú consolidó un mes en 2024; pro forma ≥ 3,0x), 0,39x crecimiento del EBITDA y solo 0,28x menor deuda (Anexo 11B). El EBITDA cubre 8,4x los costos financieros.</w:t>
      </w:r>
    </w:p>
    <w:tbl>
      <w:tblPr>
        <w:tblpPr w:leftFromText="0" w:rightFromText="0" w:topFromText="0" w:bottomFromText="0" w:tblpX="7956" w:tblpY="44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a jun-26 está 79% en UF, 14% en PEN y 7% en COP (release 2T26), en línea con las monedas de los ingresos; el 95% es de largo plazo, con una duración de 6,6 años. Los bonos en UF vigentes pagan un cupón real de 3,36% (3,48% efectivo); con el reajuste UF el costo nominal en CLP fue cercano a 7% en 2025. Los vencimientos se concentran en 2029, 2031 y 2033 (Figura 18); refinanciar la serie S (1,32% efectivo) a la tasa real efectiva de la última emisión (4,33%, que incluye costos de colocación y descuento y no es el cupón; solo sensibilidad) sumaría cerca de CLP 4,9 mil MM al año.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 Malls, y DFN/EBITDA de 2,49x contra 5,68x y 2,11x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 Malls (2,1x) y Parque Arauco (5,7x), y cada vuelta adicional suma 25 pb al costo real de la deuda. La caja por sobre el payout de 40% y el plan de capex se devuelve con recompras o dividendos extraordinarios: CLP 1,7 billones acumulados en 2S26E–2031E (Anexo 13). Con 3,5x, la nueva calificación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en CLP nominales 7,7% en 2026E y 5,0% en 2031E (CAGR 2026E–2031E de 6,9%), a medida que el crecimiento real en mismas tiendas converge a los puntos medios de la tasación, maduran los 170.200 m² del pipeline con fecha (incluidos 46.500 m² de otros proyectos en Chile que abren en 2028) y, desde 2029E, abren cerca de 27.000 m² al año al ritmo histórico (Figura 19); los ingresos 2026E quedan 0,3% sobre el consenso BEst de 13 analistas (Anexo 11C). El margen EBITDA se mantiene en 79,7–79,8%, bajo el máximo de 2025. El impuesto en caja (tasa de Chile) se normaliza de 16,8% a 27% hacia 2030E y los costos financieros suben con el apalancamiento, por lo que el margen FFO baja de 60,9% a 52,2%. El capital de trabajo se mantiene en 15,6% de los ingresos, el nivel de diciembre de 2025 (Anexo 9). El GLA nuevo rinde 7,3% real antes de impuestos sobre su costo y 5,3% real después de impuestos (RONIC), frente a una WACC real de 7,2%: la expansión suma ingresos, pero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Tres conclusiones para el modelo. Primero, la base correcta es la caja: usamos el EBITDA que elimina una sola vez la revalorización (Anexo 12) y la utilidad distribuible como ancla, no la utilidad contable de CLP 1.431 mil MM. Segundo, la calidad no está en duda: con el mismo ajuste para los tres, Mallplaza tiene el ROE normalizado más alto de sus pares locales (10,0% frente a 7,8% de Parque Arauco y 8,0% de Cenco Malls) con un LTV de 18,8% (Anexo 14).</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Sin revalorizaciones ni partidas no monetarias, CLP 1.441 mil MM de utilidad consolidada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Utilidad consolidada (atribuible: CLP 1.431 mil MM). Tras minoritarios en el FFO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capital existente apenas rinde su costo. El ROIC de 2025 (NOPAT al 27% sobre el capital a valor de tasación, sin revalorización; Anexo 11) fue 7,3%, comparable con la WACC real de 7,2% (no con la nominal) porque excluye la revalorización. El capital nuevo rinde menos que su costo (RONIC real de 5,3%). Al precio actual, el FFO 2026E de CLP 428,5 mil MM rinde 5,5% nominal sobre el valor de mercado (18x FFO) y la utilidad distribuible 4,9%: el mercado paga por estos flujos como si fueran casi libres de riesgo. Esa brecha de tasa es la que cuantifica Valuación.</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2.077 por acción, 41,6% bajo el cierre de CLP 3.555 del 30-sep-26 (−39,6%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NINGUNO DE NUESTROS MÉTODOS ALCANZA</w:t>
      </w:r>
    </w:p>
    <w:tbl>
      <w:tblPr>
        <w:tblpPr w:leftFromText="0" w:rightFromText="0" w:topFromText="0" w:bottomFromText="0" w:tblpX="7956" w:tblpY="29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1.391 a 2.329 aun moviendo la WACC nominal ±100 pb y el g nominal entre 2,5% y 4,0%, y las medianas de múltiplos tampoco lo alcanzan (Figura 20). Damos 80% del peso al DCF porque el valor de Mallplaza proviene de flujos contractuales: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que valora la empresa sin deuda y suma aparte los escudos fiscales, da CLP 1.895, apenas 2% sobre el DCF: el resultado no depende de cómo modelamos el financiamiento. Los múltiplos van de CLP 2.152 (mediana del set común) a 3.294 (mediana chilena), y el EV/EBITDA NTM y el EV/EBIT quedan entre CLP 2.914 y 3.098. Todo cae a la izquierda del precio; solo lo alcanzan el propio rango de cotización del último año y, entre los múltiplos individuales, el de Parque Arauco, que no usamos solo (más abajo). Incluso la mediana chilena de múltiplos, el escenario más favorable para la acción, queda 7% bajo el precio. En 10.000 simulaciones de Monte Carlo (Anexo 18), el precio objetivo queda bajo CLP 3.555 en 100% de los casos: mediana CLP 2.047, P5–P95 CLP 1.799–2.354.</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tbl>
      <w:tblPr>
        <w:tblpPr w:leftFromText="0" w:rightFromText="0" w:topFromText="0" w:bottomFromText="0" w:tblpX="7956" w:tblpY="51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El flujo de caja libre cubre los dividendos 1,7–2,6x (1S26–2025) aun con más capex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(FCFF) en CLP nominales desde el 30-jun-26, con horizonte explícito hasta 2031E y un valor terminal que explica el 78% del EV (Anexo 15). Los CLP 1.859 por acción son CLP 543 de flujos explícitos y CLP 1.926 de valor terminal, menos CLP 610 de deuda neta y minoritarios: el resultado depende, sobre todo, de la tasa de descuento.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1,46 billones) financia todo el capex mientras la caja operativa se distribuye a los accionistas. Así, la WACC nominal pasa de 10,54% en 2S26E a 10,41% en el terminal (7,32% y 7,20% reales): un Ke nominal de 11,93% (8,67% real; Rf de 4,98% en USD, beta re-apalancada de 1,14 desde una mediana desapalancada de seis pares de 0,94, ERP 4,14% y CRP de 1,41% ponderado por ingresos) y un Kd nominal de 5,11% después de impuestos, con un Kd real igual al cupón real de 3,6% de la última emisión en UF (caso base; Anexo 19). Usamos el cupón porque es la tasa a la que la compañía se financió en UF en su última colocación y es el insumo del modelo; con la tasa efectiva (4,33%) el precio objetivo baja a CLP 2.042, lo que refuerza la recomendación.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primera señal es la tasa implícita del activo (la firma): la que iguala el FCFF y el valor terminal al valor de empresa que paga el mercado a CLP 3.555 (EV de CLP 9,12 billones). Es 7,60% nominal (4,5% real en UF), 281 pb bajo la WACC nominal, y apenas ~87 pb reales sobre el cupón real de 3,6% de su deuda (Figura 21).</w:t>
      </w:r>
    </w:p>
    <w:p>
      <w:pPr>
        <w:keepNext w:val="false"/>
        <w:spacing w:after="30" w:before="60"/>
      </w:pPr>
      <w:r>
        <w:rPr>
          <w:rFonts w:ascii="Arial" w:cs="Arial" w:eastAsia="Arial" w:hAnsi="Arial"/>
          <w:b/>
          <w:bCs/>
          <w:color w:val="14284B"/>
          <w:sz w:val="15"/>
          <w:szCs w:val="15"/>
        </w:rPr>
        <w:t xml:space="preserve">TIR del activo (firma) y del proyecto nuevo frente a la WACC: nominal CLP y real (UF)</w:t>
      </w:r>
    </w:p>
    <w:tbl>
      <w:tblPr>
        <w:tblW w:type="dxa" w:w="11503"/>
        <w:tblBorders>
          <w:top w:val="none" w:color="FFFFFF" w:sz="0"/>
          <w:left w:val="none" w:color="FFFFFF" w:sz="0"/>
          <w:bottom w:val="none" w:color="FFFFFF" w:sz="0"/>
          <w:right w:val="none" w:color="FFFFFF" w:sz="0"/>
          <w:insideH w:val="none" w:color="FFFFFF" w:sz="0"/>
          <w:insideV w:val="none" w:color="FFFFFF" w:sz="0"/>
        </w:tblBorders>
      </w:tblPr>
      <w:tblGrid>
        <w:gridCol w:w="3835"/>
        <w:gridCol w:w="1233"/>
        <w:gridCol w:w="1067"/>
        <w:gridCol w:w="3001"/>
        <w:gridCol w:w="2367"/>
      </w:tblGrid>
      <w:tr>
        <w:trPr>
          <w:tblHeader/>
        </w:trPr>
        <w:tc>
          <w:tcPr>
            <w:tcW w:type="dxa" w:w="383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Compra al precio de</w:t>
            </w:r>
          </w:p>
        </w:tc>
        <w:tc>
          <w:tcPr>
            <w:tcW w:type="dxa" w:w="1233"/>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Nominal</w:t>
            </w:r>
          </w:p>
        </w:tc>
        <w:tc>
          <w:tcPr>
            <w:tcW w:type="dxa" w:w="10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Real</w:t>
            </w:r>
          </w:p>
        </w:tc>
        <w:tc>
          <w:tcPr>
            <w:tcW w:type="dxa" w:w="3001"/>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WACC nom./real</w:t>
            </w:r>
          </w:p>
        </w:tc>
        <w:tc>
          <w:tcPr>
            <w:tcW w:type="dxa" w:w="23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Brecha nom./real</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Mercado: CLP 3.555</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4,48%</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−280 / −272 pb</w:t>
            </w:r>
          </w:p>
        </w:tc>
      </w:tr>
      <w:tr>
        <w:trPr>
          <w:cantSplit w:val="false"/>
        </w:trPr>
        <w:tc>
          <w:tcPr>
            <w:tcW w:type="dxa" w:w="383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Nuestro objetivo: CLP 2.077</w:t>
            </w:r>
          </w:p>
        </w:tc>
        <w:tc>
          <w:tcPr>
            <w:tcW w:type="dxa" w:w="1233"/>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9,88%</w:t>
            </w:r>
          </w:p>
        </w:tc>
        <w:tc>
          <w:tcPr>
            <w:tcW w:type="dxa" w:w="10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6,68%</w:t>
            </w:r>
          </w:p>
        </w:tc>
        <w:tc>
          <w:tcPr>
            <w:tcW w:type="dxa" w:w="3001"/>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−53 / −51 pb</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Nuestro DCF: CLP 1.859</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10,43%</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7,21%</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 / +2 pb</w:t>
            </w:r>
          </w:p>
        </w:tc>
      </w:tr>
      <w:tr>
        <w:trPr>
          <w:cantSplit w:val="false"/>
        </w:trPr>
        <w:tc>
          <w:tcPr>
            <w:tcW w:type="dxa" w:w="383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Proyecto nuevo: 1 m² (cohorte)</w:t>
            </w:r>
          </w:p>
        </w:tc>
        <w:tc>
          <w:tcPr>
            <w:tcW w:type="dxa" w:w="1233"/>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7,98%</w:t>
            </w:r>
          </w:p>
        </w:tc>
        <w:tc>
          <w:tcPr>
            <w:tcW w:type="dxa" w:w="10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4,84%</w:t>
            </w:r>
          </w:p>
        </w:tc>
        <w:tc>
          <w:tcPr>
            <w:tcW w:type="dxa" w:w="3001"/>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−243 / −236 pb</w:t>
            </w:r>
          </w:p>
        </w:tc>
      </w:tr>
    </w:tbl>
    <w:p>
      <w:pPr>
        <w:keepNext w:val="false"/>
        <w:spacing w:after="60" w:before="20"/>
      </w:pPr>
      <w:r>
        <w:rPr>
          <w:rFonts w:ascii="Arial" w:cs="Arial" w:eastAsia="Arial" w:hAnsi="Arial"/>
          <w:color w:val="5F5F5F"/>
          <w:sz w:val="12"/>
          <w:szCs w:val="12"/>
        </w:rPr>
        <w:t xml:space="preserve">TIR del activo: tasa única que iguala el FCFF y el valor terminal al valor de empresa pagado; al valor DCF coincide con la WACC. Proyecto nuevo: flujo de 1 m² con el costo, la rampa y el margen de la expansión, mantención y capital de trabajo. Real = (1 + nom.) / (1 + 3,0%) − 1. La WACC implícita de la Figura 27 (7,60%) desplaza toda la curva de WACC y la TIR de tasa única es 7,61%: dos lecturas de la misma idea. Fuente: análisis del equipo.</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en caja que converge de 16,8% a 27% en 2030, el pipeline completo con fecha de la compañía (170.200 m² y USD 613 MM, incluidos 46.500 m² de «otros proyectos» en Chile que abren en 2028) y, desde 2029, 27.075 m² nuevos al año, el ritmo orgánico histórico. El consenso BEst de 13 analistas espera un EBITDA a 12 meses apenas ~3% sobre el nuestro: la diferencia con el mercado no está en los flujos.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y se separa en mantención y TI (5,5% de los ingresos, CLP 42–53 mil MM al año) y capex incremental: el pipeline en curso (CLP 534 mil MM en 2S26E–2028E) y la expansión continua (CLP 95–104 mil MM al año desde 2028, a USD 3.603 por m² y con una rampa de ingresos de 35%, 90% y 100%). El capex total llega a un máximo de CLP 336 mil MM en 2027E y se estabiliza cerca de 16% de los ingresos desde 2029E (Figura 19). El capital de trabajo (15,6% de los ingresos) exige CLP 7,3–9,9 mil MM al año y, si fuera cero, el objetivo subiría solo 1,3% (Figura 22: cascada de supuestos discrecionales del equipo, distinta del escenario bull;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62 por acción sin descontar; sin él el objetivo baja 2,1% (Figura 22). Y el capital de trabajo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Precio y ventas. En un operador de arriendos el precio es el arriendo por m², y las ventas de los locatarios llegan al ingreso solo por la renta variable (5,7% de los ingresos UDM). Por eso 1 pp más de crecimiento nominal del arriendo en mismas tiendas en 2027–28 agrega CLP 45 al valor DCF por acción, 18 veces lo que agrega 1 pp más de crecimiento de las ventas de los locatarios (CLP 2,6); 1 pp más de crecimiento real del arriendo en 2029–31 agrega CLP 57. Una mejora de precios puede traducirse en mayores ventas y renta variable cuando la ocupación y el tráfico la sostienen, así que en el escenario bull movemos ambas palancas a la vez (arriendo +9,4%, ventas +9,9%): aun así el precio objetivo queda 18% bajo el precio.</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81% de la deuda bruta a esa fecha);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7,3% real antes de impuestos sobre su costo (mix de la expansión: 67% Chile, 33% Perú), un RONIC real de 5,3% después de impuestos, bajo una WACC real de 7,2%. La TIR de un m² nuevo, con capex, rampa, mantención y capital de trabajo, es 4,84% real (7,98% nominal): 236 pb bajo la WACC real y 243 pb bajo la nominal; para igualarla, el ingreso por m² tendría que ser 1,54 veces el del modelo. La expansión suma ingresos, pero no valor: por eso el valor terminal crece solo con la inflación (g de 3,0% nominal, 0% real) y un g mayor reduce el valor (Figura 23). Suponer más crecimiento no cerraría la brecha con el precio; la agrandaría. Por eso el horizonte explícito incluye el capex y la maduración de los proyectos que abren hasta 2032 (108.301 m² maduran en el año terminal), pero desde ahí el capex incremental terminal es cero y solo queda la mantención.</w:t>
      </w:r>
    </w:p>
    <w:p>
      <w:pPr>
        <w:keepNext/>
        <w:pBdr>
          <w:bottom w:val="single" w:color="E9004B" w:sz="8" w:space="1"/>
        </w:pBdr>
        <w:spacing w:after="50" w:before="110"/>
        <w:ind w:right="3766"/>
      </w:pPr>
      <w:r>
        <w:rPr>
          <w:rFonts w:ascii="Arial" w:cs="Arial" w:eastAsia="Arial" w:hAnsi="Arial"/>
          <w:b/>
          <w:bCs/>
          <w:color w:val="14284B"/>
          <w:sz w:val="16"/>
          <w:szCs w:val="16"/>
        </w:rPr>
        <w:t xml:space="preserve">¿POR QUÉ EXPANDIRSE SI NO CREA VALOR?</w:t>
      </w:r>
    </w:p>
    <w:tbl>
      <w:tblPr>
        <w:tblpPr w:leftFromText="0" w:rightFromText="0" w:topFromText="0" w:bottomFromText="0" w:tblpX="7956" w:tblpY="72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Tras el pipeline, el capex incremental de la expansión continua mantiene el capex total cerca de CLP 150 mil MM al año; la DFN/EBITDA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de 1S26 (sin apertura por tipo). Mantención + TI = 5,5% de los ingresos; incremental = pipeline en curso + expansión continua. 2024A: un mes de EBITDA de Perú. Fuente: EEFF (CMF); release 2T26; análisis del equipo (Anexo 15).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Si crecer rinde menos que el costo de capital, ¿qué empuja a la administración a seguir? Planteamos cuatro hipótesis. Primero, contabilidad frente a economía: la deuda en UF (79% del total) cuesta ~3,6% real, bajo lo que rinde un activo nuevo, así que cada proyecto financiado con deuda mejora FFO, EBITDA y utilidad aunque no cubra el retorno exigido al capital total. Segundo, la revalorización: bajo NIC 40 las tasaciones usan tasas de descuento reales de 5,5–6,4%, menores que la WACC real, y cada activo nuevo se tasa sobre su costo y genera utilidad contable. Tercero, el controlador: si el grupo (Falabella) tiene tiendas ancla u otros negocios en esos malls, un m² nuevo le sirve al grupo aunque a Plaza le rinda poco, un conflicto de agencia con los minoritarios. Cuarto, la compensación: si los bonos dependen del GLA o del EBITDA y no del ROIC, expandirse es racional para la gerencia. Hay razones estratégicas defendibles (suelo escaso, ventajas de red); es un riesgo de asignación de capital, no una contradicción con un buen negocio. El punto de equilibrio de la expansión es una WACC real de 5,3% (8,5% nominal); la WACC implícita en el precio (7,60% nominal, 4,5% real) queda bajo ese nivel: si el mercado tuviera razón, expandir crearía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24). Por eso ponderamos 70% la mediana chilena y 30% la del set común (que incluye IRSA; excluimos Fibra Danhos por su régimen FIBRA): 14,4x, que lleva a CLP 2.951 por acción. La ponderación pesa poco: entre 0% y 100% Chile, el precio objetivo solo va de CLP 1.917 a 2.146 (Anexo 17).</w:t>
      </w:r>
    </w:p>
    <w:tbl>
      <w:tblPr>
        <w:tblpPr w:leftFromText="0" w:rightFromText="0" w:topFromText="0" w:bottomFromText="0" w:tblpX="7956" w:tblpY="24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Ninguno de nuestros métodos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criterio de la beta: IRSA con cautela (reporta bajo NIC 29; un solo analista en el NTM) y sin Fibra Danhos (FIBRA: reparte 95% del resultado fiscal; sin beta en la WACC). Usamos EV/EBITDA, neutral al apalancamiento y a la revalorización (NIC 40), con la deuda neta de Bloomberg (CLP 1.311.569 MM para Mallplaza; la diferencia con los CLP 1.285.740 MM del DCF son CLP 25.828 MM de arrendamientos NIIF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 Malls, pero su EBITDA por m² es solo 1,8% mayor (ver Industria); solo al múltiplo de Parque Arauco (18,4x), que opera con 5,7x de deuda, valdría más que su precio. Todos los múltiplos, del EV/EBITDA NTM (CLP 2.914) al P/BV (CLP 3.171), quedan bajo el precio (Figura 25): confirman que la acción está cara, y la magnitud la da el DCF. Excluimos el P/E (CLP 8.644), distorsionado por la revalorización de propiedades. En precios: mediana chilena CLP 3.294 (−7%), Cenco Malls CLP 2.621 y solo Parque Arauco CLP 3.967. Defender CLP 3.555 con múltiplos exige suponer que Mallplaza merece la valoración del par más apalancado del grupo.</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956" w:tblpY="46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A CLP 3.555 la firma rinde casi lo mismo que su deuda (tasas reales, UF)</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real de 6,0% (EBITDA UDM / EV, comparable con tasas reales porque las rentas se reajustan por UF), frente a 10,1% en nuestro DCF, 6,4% en los pares chilenos y 7,5% a valor libro (Figura 26). El mercado paga 1,61 veces un patrimonio que ya está a valor razonable, tasado con una tasa de descuento real de ~5,55% (Nota 11); la TIR real que deja el precio, 4,5%, queda bajo esa tasa: paga más que los propios tasadores. Para justificar CLP 3.555 la WACC nominal tendría que ser 281 pb menor (7,60%, 4,5% real; Figura 27); incluso con la tasa de los tasadores (5,55% real, 8,72% nominal), el DCF sería CLP 2.679.</w:t>
      </w:r>
    </w:p>
    <w:p>
      <w:pPr>
        <w:keepNext/>
        <w:pBdr>
          <w:bottom w:val="single" w:color="E9004B" w:sz="8" w:space="1"/>
        </w:pBdr>
        <w:spacing w:after="50" w:before="110"/>
        <w:ind w:right="3766"/>
      </w:pPr>
      <w:r>
        <w:rPr>
          <w:rFonts w:ascii="Arial" w:cs="Arial" w:eastAsia="Arial" w:hAnsi="Arial"/>
          <w:b/>
          <w:bCs/>
          <w:color w:val="14284B"/>
          <w:sz w:val="16"/>
          <w:szCs w:val="16"/>
        </w:rPr>
        <w:t xml:space="preserve">POR QUÉ EL MERCADO PAGA CLP 3.555</w:t>
      </w:r>
    </w:p>
    <w:tbl>
      <w:tblPr>
        <w:tblpPr w:leftFromText="0" w:rightFromText="0" w:topFromText="0" w:bottomFromText="0" w:tblpX="7956" w:tblpY="147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Con todos los supuestos discrecionales del equipo a favor el objetivo llega a CLP 2.977, aún 16% bajo el precio</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Cascada acumulada en el orden mostrado; la tabla da el efecto de cada supuesto solo. Precio objetivo = 80% DCF + 20% múltiplos.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los últimos doce meses la acción pasó de un mínimo de CLP 2.470 (10-oct-25) a un máximo de CLP 4.700 (27-abr-26), un alza de ~90% en seis meses y medio que el negocio no explica: el EBITDA creció 5–10% anual. El impulso fue externo. La bolsa chilena subió 56% en 2025, con un cambio de gobierno y expectativas de menores impuestos, y las acciones de malls rindieron ~48% (LarrainVial) y se revalorizaron en conjunto. La inclusión en el MSCI EM Mid Cap (25-nov-25) obligó a fondos pasivos a comprar ~USD 110 MM, unas 15 veces el volumen diario (Morgan Stanley). Y los analistas extrapolaron crecimiento: JPMorgan proyecta un FFO que crece ~11% anual hasta 2028, el doble de nuestro ~6% (2026E–2028E). La caída a CLP 3.555 (−24% desde el máximo) coincide con resultados bajo lo esperado (EBITDA +5,2% en 1T26), el recorte del objetivo de JPMorgan y el alza del UST a 10 años (5,22% al 8-oct-26). Es una corrección parcial: a ese precio la acción cotiza 91% sobre el DCF, 33% sobre el valor con la tasa de los tasadores (CLP 2.679) y a 1,61x su valor libro. Las cifras atribuidas a analistas y los precios de los hitos provienen de los documentos del equipo (Figura 32).</w:t>
      </w:r>
    </w:p>
    <w:p>
      <w:pPr>
        <w:keepNext/>
        <w:pBdr>
          <w:bottom w:val="single" w:color="E9004B" w:sz="8" w:space="1"/>
        </w:pBdr>
        <w:spacing w:after="50" w:before="110"/>
        <w:ind w:right="3766"/>
      </w:pPr>
      <w:r>
        <w:rPr>
          <w:rFonts w:ascii="Arial" w:cs="Arial" w:eastAsia="Arial" w:hAnsi="Arial"/>
          <w:b/>
          <w:bCs/>
          <w:color w:val="14284B"/>
          <w:sz w:val="16"/>
          <w:szCs w:val="16"/>
        </w:rPr>
        <w:t xml:space="preserve">NUESTRO VALOR FRENTE AL CONSENSO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Bloomberg muestra 14 fuentes con una recomendación promedio de 2,85 (escala de Bloomberg: 5 = comprar, 3 = mantener, 1 = vender; 13 de las 14 fuentes tienen rating: (1×5 + 10×3 + 2×1)/13 = 2,85) y un precio objetivo a 12 meses de CLP 4.111, 98% sobre el nuestro (nuestro objetivo está 49,5% bajo él); el más bajo es el de Goldman Sachs (vender, CLP 3.377) y el rango va de 3.377 a 4.600. Cuatro razones explican la brecha (Figura 34). La tasa es la principal: el precio exige una WACC nominal de 7,60%, 281 pb bajo nuestro 10,41%, y como el valor terminal es 78% del EV, cada punto de tasa pesa mucho. Los múltiplos tampoco llegan: el 20% en múltiplos da CLP 2.951, 17% bajo el precio, así que no todo es WACC. El horizonte también cuenta: los objetivos son a 12 meses y el nuestro es al 30-jun-26; a nuestro Ke nominal de 11,93%, CLP 4.111 equivalen a ~CLP 3.673 hoy, de modo que la brecha se reduce, pero no se cierra. Y el crecimiento: si crecer rinde menos que la WACC, nuestro modelo lo castiga, mientras el mercado probablemente lo valora con un retorno cercano al cap rate. Los objetivos siguieron al precio (la acción subió 39% en los 12 meses a septiembre de 2026) y no conocemos sus supuestos, solo sus objetivos.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aísla el valor de la deuda. De sus CLP 1.895 por acción, CLP 1.630 corresponden a la empresa sin deuda y CLP 265 a los escudos fiscales de la deuda proyectada: apalancarse hasta 3,5x agrega valor, pero ni sumándolo se acerca al precio. La elección de la tasa libre de riesgo es la conservadora: usar el bono nominal en pesos (5,43%) y además sumar el riesgo país contaría dos veces el riesgo Chile, y aun así el precio objetivo solo subiría a ~CLP 2.449, 31% bajo el precio. Con un dividendo esperado de ~CLP 69 por acción (2,0%), el retorno total esperado es −39,6%.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2.077 (80% × 1.859 + 20% × 2.951): 10,8x EBITDA, un cap rate real de 9,3% (1 / EV/EBITDA) y 0,94x el valor libro. Llevar el DCF al 30-sep-26 lo subiría a ~CLP 2.119, sin cambiar la recomendación. El catalizador es la propia tasa: con el UST 10Y nominal en 5,22% (8-oct-26), las tasas largas presionan los cap rates, y cada nueva tasación los acerca a nuestro valor. Lo que rompería la tesis es lo contrario: una nueva compresión de cap rates por la demanda institucional de activos defensivos, o una prima estructural por los activos Tier A (ver Riesgos, FR1). Vigilaremos la tasación de la Nota 11 en cada cierre, el spread del bono UF frente a su cupón real de 3,6% (como sensibilidad, con la tasa efectiva real de 4,33% de la última emisión, la WACC nominal subiría 12 pb y el precio objetivo bajaría a CLP 2.042), la rebaja del impuesto corporativo a 23% (+5,2% al precio objetivo, aún no incluida) y la calificación AAA local, que probablemente quedaría bajo presión con 3,5x de DFN/EBITDA.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nominal. Abajo: valor terminal relativo según el RONIC. 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26003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00325"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UDM. P/E excluido (incluye revalorización). Fuente: Bloomberg (30-09-26);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mercado paga 6,0%; nuestros flujos valen 10,1% (cap rate real)</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Cap rate = EBITDA UDM / EV, comparable con tasas reales (rentas en UF). Gran Plaza: hecho posterior, no entra al modelo. Fuente: Mallplaza; Bloomberg; DF; análisis del equipo.</w:t>
            </w:r>
          </w:p>
        </w:tc>
      </w:tr>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El precio exige una WACC nominal 281 pb menor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WACC nominal terminal; todos los períodos se desplazan en paralelo. 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la tasa de descuento (FR1, probabilidad alta). Un alza de las tasas largas baja el valor y refuerza la recomendación; lo que rompería la tesis de VENDER es lo contrario, una compresión adicional de cap rates o una prima estructural por los activos Tier A. Aun en el escenario bull, el precio objetivo no alcanza la cotización.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28 clasifica cada riesgo según su probabilidad y su impacto sobre el valor por acción (Figuras 29, 30 y 31).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trimestral de 75,8%, reduce el valor DCF a CLP 1.669 (−10,2%), y el piso histórico del crecimiento de rentas en mismas tiendas lo lleva a CLP 1.783 (−4,1%) (Figura 29). Todas las palancas a la vez, con la WACC +100 pb, definen el escenario bear (precio objetivo CLP 1.542, −56,6% frente al precio).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anual de 76,2% (2022) a 80,5% (2025) y la ocupación consolidada de Mallplaza se mantuvo entre 95,1% y 96,6% en 4T23–2T26.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−4,1% (Figura 29).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Las tasas largas dominan el valor, en ambos sentidos. Un alza eleva la WACC y el costo de refinanciar la deuda y el pipeline, y es lo más probable: el UST 10Y pasó de 4,98% (Rf del modelo) a 5,22% al 8-oct-26; la Fed subió su tasa en septiembre y las tasas largas locales también suben. Con WACC nominal +50 pb y +100 pb, el precio objetivo cae 6,7% y 12,5% (Figura 30), lo que refuerza la recomendación. Lo que rompería la tesis es lo contrario: con WACC −100 pb sube 16,6%, a CLP 2.421, y aun así queda 32% bajo el precio.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real fija, duración de 6,6 años, DFN/EBITDA de 2,36x y calificación AAA local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pequeño, porque las rentas indexadas suben con la inflación: una alza de 100 pb de la tasa larga nominal que venga toda de inflación esperada resta solo 0,3%; si viniera toda de tasa real, 12,2% (Figura 31). El riesgo está en que un menor consumo impida traspasar la inflación a las rentas: si solo se reajustara el 70% del flujo, el efecto de la inflación subiría a 1,0%.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29).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(PEN)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53,1% y arrienda espacios (Falabella, Sodimac, Tottus), lo que genera cuentas por cobrar con relacionadas. Fernando de Peña, gerente de Mallplaza por décadas, preside Falabella desde marzo de 2026. Contratos fuera de mercado afectarían directamente las rentas y el valor. Hay también un riesgo de asignación de capital: la expansión rinde menos que su costo (RONIC real de 5,3% frente a una WACC real de 7,2%), de modo que seguir creciendo beneficia a la utilidad contable y a un controlador con otros negocios en esos malls más que al minoritario (ver Valuación).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soberana A estable y la Ley 21.770 (sep-25) acorta los permisos. En Perú, el alza del salario mínimo a S/ 1.300 y la duplicación de Pensión 65 apoyan el consumo (Infobae, 28-jul-26). Colombia aporta solo ~11% de los ingresos. El modelo mantiene 27%: la rebaja en Chile sumaría ~5,2%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Mallplaza 4T23–2T26; EEFF para capex de mantención y tasación, Nota 11). WACC 10,41% y g 3,0% constantes. Fuente: Mallplaza;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Fuente: equipo.</w:t>
            </w:r>
          </w:p>
          <w:p>
            <w:pPr>
              <w:keepNext w:val="false"/>
              <w:spacing w:after="30" w:before="10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Precio objetivo según la tasa larga y la parte de su alza que viene de inflación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BCP a 10 años (base 6,25%); alza repartida entre tasa real e inflación; 85% del flujo indexado (supuesto del equipo). Fuente: BCCh; equipo.</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RESUMEN DE INVERSIÓN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VENDER · precio objetivo CLP 2.077 por acción (caso base), 41,6% bajo el cierre de CLP 3.555 (30-sep-26). Tres tesis con los mismos supuestos de valoración: en el bear todo lo que podría salir mal sale mal, en el base todo ocurre como lo proyectamos y en el bull todo juega a favor. Ninguna alcanza el precio.</w:t>
      </w:r>
    </w:p>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11500"/>
        <w:tblBorders>
          <w:top w:val="none" w:color="FFFFFF" w:sz="0"/>
          <w:left w:val="none" w:color="FFFFFF" w:sz="0"/>
          <w:bottom w:val="none" w:color="FFFFFF" w:sz="0"/>
          <w:right w:val="none" w:color="FFFFFF" w:sz="0"/>
          <w:insideH w:val="none" w:color="FFFFFF" w:sz="0"/>
          <w:insideV w:val="none" w:color="FFFFFF" w:sz="0"/>
        </w:tblBorders>
      </w:tblPr>
      <w:tblGrid>
        <w:gridCol w:w="2900"/>
        <w:gridCol w:w="2000"/>
        <w:gridCol w:w="3600"/>
        <w:gridCol w:w="3000"/>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2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c>
          <w:tcPr>
            <w:tcW w:type="dxa" w:w="3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3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 / base / bull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1.542 / 2.077 / 2.915</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2.077</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Capitalización (CLP mil MM)</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Rango 52 semanas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Dividendo esperado 2027E (CLP)</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1.859 / 2.951</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 real</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 EBITDA UDM 2T26</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pPr>
    </w:p>
    <w:p>
      <w:pPr>
        <w:keepNext/>
        <w:pBdr>
          <w:bottom w:val="single" w:color="E9004B" w:sz="8" w:space="1"/>
        </w:pBdr>
        <w:spacing w:after="50" w:before="110"/>
        <w:ind w:right="3766"/>
      </w:pPr>
      <w:r>
        <w:rPr>
          <w:rFonts w:ascii="Arial" w:cs="Arial" w:eastAsia="Arial" w:hAnsi="Arial"/>
          <w:b/>
          <w:bCs/>
          <w:color w:val="14284B"/>
          <w:sz w:val="16"/>
          <w:szCs w:val="16"/>
        </w:rPr>
        <w:t xml:space="preserve">RECOMENDACIÓN Y PRECIO OBJETIVO</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La acción subió ~90% en seis meses sin que cambiara el negocio y luego devolvió 24%</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Precios de los hitos tomados de los documentos del equipo. La línea solo une hitos: no es la serie diaria. Fuente: documentos del equipo;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Recomendamos VENDER Mallplaza (MALLPLAZ CI) con un precio objetivo de CLP 2.077 por acción, 41,6% bajo el cierre del 30-sep-26 (−39,6% de retorno total con un dividendo esperado de CLP 69, 2,0%). El precio objetivo pondera 80% el valor DCF (CLP 1.859, al 30-jun-26) y 20% el valor por múltiplos EV/EBITDA UDM de pares (CLP 2.951; 14,4x), y queda bajo el mínimo de 52 semanas (CLP 2.470). Mallplaza es un negocio excelente (arriendos reajustados por UF, margen EBITDA de 80%, ocupación consolidada de 95,6% en el 2T26, DFN/EBITDA de 2,36x y calificación AAA local); el desacuerdo es de precio: la acción subió ~90% sin que cambiara el negocio (Figura 32) y paga una WACC nominal de 7,60% (4,5% real), 281 pb bajo la nuestra de 10,41%. En 10.000 simulaciones de Monte Carlo (Anexo 18) el precio objetivo queda bajo CLP 3.555 en 100% de los casos: mediana CLP 2.047, P5–P95 CLP 1.799–2.354.</w:t>
      </w:r>
    </w:p>
    <w:p>
      <w:pPr>
        <w:keepNext/>
        <w:pBdr>
          <w:bottom w:val="single" w:color="E9004B" w:sz="8" w:space="1"/>
        </w:pBdr>
        <w:spacing w:after="50" w:before="110"/>
        <w:ind w:right="3766"/>
      </w:pPr>
      <w:r>
        <w:rPr>
          <w:rFonts w:ascii="Arial" w:cs="Arial" w:eastAsia="Arial" w:hAnsi="Arial"/>
          <w:b/>
          <w:bCs/>
          <w:color w:val="14284B"/>
          <w:sz w:val="16"/>
          <w:szCs w:val="16"/>
        </w:rPr>
        <w:t xml:space="preserve">BEAR CASE: TODO LO QUE PODRÍA SALIR MAL, SALE MAL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WACC nominal sube 100 pb y, a la vez, margen, ocupación, arriendo, ventas, visitas y crecimiento real caen a su mínimo histórico, con el capex de mantención en su máximo. El valor DCF baja a CLP 1.190 y el precio objetivo a CLP 1.542 (−56,6%; retorno total −54,7%). (Figura 33).</w:t>
      </w:r>
    </w:p>
    <w:p>
      <w:pPr>
        <w:keepNext/>
        <w:pBdr>
          <w:bottom w:val="single" w:color="E9004B" w:sz="8" w:space="1"/>
        </w:pBdr>
        <w:spacing w:after="50" w:before="110"/>
        <w:ind w:right="3766"/>
      </w:pPr>
      <w:r>
        <w:rPr>
          <w:rFonts w:ascii="Arial" w:cs="Arial" w:eastAsia="Arial" w:hAnsi="Arial"/>
          <w:b/>
          <w:bCs/>
          <w:color w:val="14284B"/>
          <w:sz w:val="16"/>
          <w:szCs w:val="16"/>
        </w:rPr>
        <w:t xml:space="preserve">BASE CASE: TODO COMO LO PROYECTAMOS</w:t>
      </w:r>
    </w:p>
    <w:tbl>
      <w:tblPr>
        <w:tblpPr w:leftFromText="0" w:rightFromText="0" w:topFromText="0" w:bottomFromText="0" w:tblpX="7956" w:tblpY="6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Bear, base y bull: aun con todo a favor el precio objetivo queda 18% bajo el precio (CLP por acción)</w:t>
            </w:r>
          </w:p>
          <w:p>
            <w:pPr>
              <w:keepNext w:val="false"/>
              <w:spacing w:after="20" w:before="0" w:line="240" w:lineRule="auto"/>
              <w:jc w:val="center"/>
            </w:pPr>
            <w:r>
              <w:drawing>
                <wp:inline distT="0" distB="0" distL="0" distR="0">
                  <wp:extent cx="9620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620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Bear: todo lo que podría salir mal, sale mal; base: todo como lo proyectamos; bull: todo a favor (Anexo 18). Ilustraciones del equipo.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Margen EBITDA de 79,7% en 2026E, ocupación consolidada de 95,6% (2T26), rentas reajustadas por UF, pipeline con fecha de 170.200 m² (USD 613 MM), expansión continua y WACC nominal terminal de 10,41% (7,20% real). Da CLP 2.077 (−41,6%; retorno total −39,6%: crecer rinde menos que el costo de capital (RONIC 5,3% real frente a una WACC real de 7,2%), de modo que la expansión suma ingresos,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BULL CASE: TODO A FAVOR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WACC nominal baja 100 pb, cada variable operacional llega a su máximo histórico (precio y ventas suben juntos por la renta variable) y el impuesto de largo plazo baja a 23% (Ley de Reconstrucción). El valor DCF sube a CLP 2.906 y el precio objetivo a CLP 2.915 (−18,0%; retorno total −16,0%): aun con todo a favor el objetivo queda 18%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FRENTE AL CONSENSO Y CATALIZADORES</w:t>
      </w:r>
    </w:p>
    <w:tbl>
      <w:tblPr>
        <w:tblpPr w:leftFromText="0" w:rightFromText="0" w:topFromText="0" w:bottomFromText="0" w:tblpX="7956" w:tblpY="102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De nuestro DCF al precio y al consenso: la brecha es de tasa (CLP por acción)</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Consenso: objetivo a 12 meses de Bloomberg (14 fuentes). «Hoy a nuestro Ke» = objetivo / (1 + Ke nominal terminal). Fuente: Bloomberg;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consenso de Bloomberg (14 fuentes) fija CLP 4.111 a 12 meses; la diferencia es de tasa (Figura 34): con la WACC de los tasadores (8,72% nominal) el DCF sube a CLP 2.679. Catalizadores: tasas largas altas (UST 10Y nominal en 5,22%), cada nueva tasación (Nota 11) que acerque el cap rate a nuestro valor y la normalización del impuesto en caja de 16,8% a 27%. Riesgos para la tesis: compresión de cap rates o una prima estructural por los activos Tier A, la rebaja del impuesto a 23% (+5,2% al precio objetivo) y el gobierno corporativo (Falabella controla 53,1%).</w:t>
      </w:r>
    </w:p>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p>
      <w:pPr>
        <w:keepNext w:val="false"/>
        <w:pBdr>
          <w:bottom w:val="single" w:color="14284B" w:sz="12" w:space="2"/>
        </w:pBdr>
        <w:spacing w:after="70" w:before="60"/>
      </w:pPr>
      <w:r>
        <w:rPr>
          <w:rFonts w:ascii="Arial" w:cs="Arial" w:eastAsia="Arial" w:hAnsi="Arial"/>
          <w:b/>
          <w:bCs/>
          <w:color w:val="14284B"/>
          <w:sz w:val="24"/>
          <w:szCs w:val="24"/>
        </w:rPr>
        <w:t xml:space="preserve">ANEXO 3: OFERTA NUEVA DE GLA, 2026-2028</w:t>
      </w:r>
    </w:p>
    <w:p>
      <w:pPr>
        <w:keepNext w:val="false"/>
        <w:shd w:fill="EEF1F6" w:color="auto" w:val="clear"/>
        <w:spacing w:after="80" w:line="228" w:lineRule="auto"/>
        <w:jc w:val="both"/>
      </w:pPr>
      <w:r>
        <w:rPr>
          <w:rFonts w:ascii="Arial" w:cs="Arial" w:eastAsia="Arial" w:hAnsi="Arial"/>
          <w:color w:val="1A1A1A"/>
          <w:sz w:val="16"/>
          <w:szCs w:val="16"/>
        </w:rPr>
        <w:t xml:space="preserve">El trío agregará 432.030 m² entre 2026 y 2028, de los cuales 334.030 m² son orgánicos (6,4% de su GLA total actual; en Chile, 219.900 m², equivalentes al 5,1% del GLA de los principales operadores en Chile y al 6,7% del GLA del propio trío). Las adquisiciones (98.000 m², todas de Parque Arauco) cambian de dueño pero no suman oferta a la industria; por eso el análisis de oferta vs demanda en Chile (Figura 3) usa solo el GLA orgánico.</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4800"/>
        <w:gridCol w:w="216"/>
        <w:gridCol w:w="649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A. PIPELINE POR EMPRESA (m²)</w:t>
            </w:r>
          </w:p>
          <w:p>
            <w:pPr>
              <w:keepNext w:val="false"/>
              <w:spacing w:after="20" w:before="0" w:line="240" w:lineRule="auto"/>
            </w:pPr>
            <w:r>
              <w:drawing>
                <wp:inline distT="0" distB="0" distL="0" distR="0">
                  <wp:extent cx="3048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48000" cy="2057400"/>
                          </a:xfrm>
                          <a:prstGeom prst="rect">
                            <a:avLst/>
                          </a:prstGeom>
                        </pic:spPr>
                      </pic:pic>
                    </a:graphicData>
                  </a:graphic>
                </wp:inline>
              </w:drawing>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64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B. GLA POR AÑO DE APERTURA (m²)</w:t>
            </w:r>
          </w:p>
          <w:tbl>
            <w:tblPr>
              <w:tblW w:type="dxa" w:w="5600"/>
              <w:tblBorders>
                <w:top w:val="none" w:color="FFFFFF" w:sz="0"/>
                <w:left w:val="none" w:color="FFFFFF" w:sz="0"/>
                <w:bottom w:val="none" w:color="FFFFFF" w:sz="0"/>
                <w:right w:val="none" w:color="FFFFFF" w:sz="0"/>
                <w:insideH w:val="none" w:color="FFFFFF" w:sz="0"/>
                <w:insideV w:val="none" w:color="FFFFFF" w:sz="0"/>
              </w:tblBorders>
            </w:tblPr>
            <w:tblGrid>
              <w:gridCol w:w="900"/>
              <w:gridCol w:w="640"/>
              <w:gridCol w:w="640"/>
              <w:gridCol w:w="640"/>
              <w:gridCol w:w="740"/>
              <w:gridCol w:w="700"/>
              <w:gridCol w:w="740"/>
              <w:gridCol w:w="600"/>
            </w:tblGrid>
            <w:tr>
              <w:trPr>
                <w:tblHeader/>
              </w:trPr>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2026</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Orgánico</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Adquis.</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Total</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Org./GLA</w:t>
                  </w:r>
                </w:p>
              </w:tc>
            </w:tr>
            <w:tr>
              <w:trPr>
                <w:cantSplit w:val="false"/>
              </w:trPr>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8.900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72.950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88.350</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42.330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r>
            <w:tr>
              <w:trPr>
                <w:cantSplit w:val="false"/>
              </w:trPr>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34.000</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52.500</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Trío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95.900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152.950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183.180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334.030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432.030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6,4%</w:t>
                  </w:r>
                </w:p>
              </w:tc>
            </w:tr>
          </w:tbl>
          <w:p>
            <w:pPr>
              <w:keepNext w:val="false"/>
              <w:spacing w:after="0" w:before="10" w:line="216" w:lineRule="auto"/>
            </w:pPr>
            <w:r>
              <w:rPr>
                <w:rFonts w:ascii="Arial" w:cs="Arial" w:eastAsia="Arial" w:hAnsi="Arial"/>
                <w:i/>
                <w:iCs/>
                <w:color w:val="5F5F5F"/>
                <w:sz w:val="11"/>
                <w:szCs w:val="11"/>
              </w:rPr>
              <w:t xml:space="preserve">Org./GLA = GLA orgánico 2026-2028 sobre GLA consolidado al 2Q26. Mallplaza: el 2028 incluye 46.500 m² de "Otros proyectos Chile", fechados en 2028 por la Memoria 2025 (p.45). Parque Arauco: 2026 = 2S26 (adquisiciones). Cenco Malls: entregas en rango ubicadas al final del rango. En Chile, la oferta orgánica del trío (219.900 m²) equivale al 5,1% del GLA de los principales operadores (≈4,3 millones de m²: 3,29 millones del trío sin oficinas ÷ 76%, su participación en ese universo; no se dispone del GLA total del mercado).</w:t>
            </w:r>
          </w:p>
          <w:p>
            <w:pPr>
              <w:keepNext w:val="false"/>
            </w:pPr>
          </w:p>
        </w:tc>
      </w:tr>
    </w:tbl>
    <w:p>
      <w:pPr>
        <w:keepNext w:val="false"/>
        <w:spacing w:after="0" w:before="10" w:line="216" w:lineRule="auto"/>
      </w:pPr>
      <w:r>
        <w:rPr>
          <w:rFonts w:ascii="Arial" w:cs="Arial" w:eastAsia="Arial" w:hAnsi="Arial"/>
          <w:i/>
          <w:iCs/>
          <w:color w:val="5F5F5F"/>
          <w:sz w:val="11"/>
          <w:szCs w:val="11"/>
        </w:rPr>
        <w:t xml:space="preserve">Fuente: Plaza S.A., Release 2Q26 (p.13) y Memoria 2025 (p.45); Parque Arauco, Investor Presentation 2Q26 (slide 23); Cenco Malls, Corporate Presentation 2Q26 (slides 15-17). Solo proyectos con fecha.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ANEXO 4: OCUPACIÓN</w:t>
            </w:r>
          </w:p>
          <w:p>
            <w:pPr>
              <w:keepNext w:val="false"/>
              <w:shd w:fill="EEF1F6" w:color="auto" w:val="clear"/>
              <w:spacing w:after="80" w:line="228" w:lineRule="auto"/>
              <w:jc w:val="both"/>
            </w:pPr>
            <w:r>
              <w:rPr>
                <w:rFonts w:ascii="Arial" w:cs="Arial" w:eastAsia="Arial" w:hAnsi="Arial"/>
                <w:color w:val="1A1A1A"/>
                <w:sz w:val="16"/>
                <w:szCs w:val="16"/>
              </w:rPr>
              <w:t xml:space="preserve">La ocupación consolidada de los tres operadores se ha mantenido entre 93% y 99% desde el 2T22, incluso durante el ciclo de inflación y tasas altas. Cada empresa define la ocupación de forma distinta, por lo que se comparan tendencias y no niveles.</w:t>
            </w:r>
          </w:p>
          <w:p>
            <w:pPr>
              <w:keepNext w:val="false"/>
              <w:pBdr>
                <w:bottom w:val="single" w:color="E9004B" w:sz="8" w:space="1"/>
              </w:pBdr>
              <w:spacing w:after="50" w:before="40"/>
            </w:pPr>
            <w:r>
              <w:rPr>
                <w:rFonts w:ascii="Arial" w:cs="Arial" w:eastAsia="Arial" w:hAnsi="Arial"/>
                <w:b/>
                <w:bCs/>
                <w:color w:val="14284B"/>
                <w:sz w:val="16"/>
                <w:szCs w:val="16"/>
              </w:rPr>
              <w:t xml:space="preserve">A. TASA DE OCUPACIÓN CONSOLIDADA, 2T22-2T26</w:t>
            </w:r>
          </w:p>
          <w:p>
            <w:pPr>
              <w:keepNext w:val="false"/>
              <w:spacing w:after="20" w:before="0" w:line="240" w:lineRule="auto"/>
            </w:pPr>
            <w:r>
              <w:drawing>
                <wp:inline distT="0" distB="0" distL="0" distR="0">
                  <wp:extent cx="35814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581400" cy="2409825"/>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Fuente: reportes de resultados 2T22-2T26 de las tres empresas. Mallplaza incluye Open Plaza desde el 2T25.</w:t>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ANEXO 5: PARTICIPACIÓN EN CHILE</w:t>
            </w:r>
          </w:p>
          <w:p>
            <w:pPr>
              <w:keepNext w:val="false"/>
              <w:shd w:fill="EEF1F6" w:color="auto" w:val="clear"/>
              <w:spacing w:after="80" w:line="228" w:lineRule="auto"/>
              <w:jc w:val="both"/>
            </w:pPr>
            <w:r>
              <w:rPr>
                <w:rFonts w:ascii="Arial" w:cs="Arial" w:eastAsia="Arial" w:hAnsi="Arial"/>
                <w:color w:val="1A1A1A"/>
                <w:sz w:val="16"/>
                <w:szCs w:val="16"/>
              </w:rPr>
              <w:t xml:space="preserve">El GLA del trío en Chile creció 7,3% desde el 2T22. Mallplaza cedió 1,2 pp de participación porque creció solo con ampliaciones, mientras Parque Arauco sumó Kennedy Oriente (70.000 m²) por compra.</w:t>
            </w:r>
          </w:p>
          <w:p>
            <w:pPr>
              <w:keepNext w:val="false"/>
              <w:pBdr>
                <w:bottom w:val="single" w:color="E9004B" w:sz="8" w:space="1"/>
              </w:pBdr>
              <w:spacing w:after="50" w:before="40"/>
            </w:pPr>
            <w:r>
              <w:rPr>
                <w:rFonts w:ascii="Arial" w:cs="Arial" w:eastAsia="Arial" w:hAnsi="Arial"/>
                <w:b/>
                <w:bCs/>
                <w:color w:val="14284B"/>
                <w:sz w:val="16"/>
                <w:szCs w:val="16"/>
              </w:rPr>
              <w:t xml:space="preserve">A. PARTICIPACIÓN DENTRO DEL TRÍO, 2T22-2T26 (% DEL GLA)</w:t>
            </w:r>
          </w:p>
          <w:p>
            <w:pPr>
              <w:keepNext w:val="false"/>
              <w:spacing w:after="20" w:before="0" w:line="240" w:lineRule="auto"/>
            </w:pPr>
            <w:r>
              <w:drawing>
                <wp:inline distT="0" distB="0" distL="0" distR="0">
                  <wp:extent cx="35814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581400" cy="2781300"/>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Fuente: reportes de resultados 2T22-2T26 de las tres empresas; análisis del equipo.</w:t>
            </w:r>
          </w:p>
          <w:p>
            <w:pPr>
              <w:keepNext w:val="false"/>
            </w:pPr>
          </w:p>
        </w:tc>
      </w:tr>
    </w:tbl>
    <w:p>
      <w:pPr>
        <w:keepNext w:val="false"/>
        <w:pBdr>
          <w:bottom w:val="single" w:color="14284B" w:sz="12" w:space="2"/>
        </w:pBdr>
        <w:spacing w:after="70" w:before="0"/>
      </w:pPr>
      <w:r>
        <w:rPr>
          <w:rFonts w:ascii="Arial" w:cs="Arial" w:eastAsia="Arial" w:hAnsi="Arial"/>
          <w:b/>
          <w:bCs/>
          <w:color w:val="14284B"/>
          <w:sz w:val="24"/>
          <w:szCs w:val="24"/>
        </w:rPr>
        <w:t xml:space="preserve">ANEXO 6: CINCO FUERZAS DE PORTER</w:t>
      </w:r>
    </w:p>
    <w:p>
      <w:pPr>
        <w:keepNext w:val="false"/>
        <w:shd w:fill="EEF1F6" w:color="auto" w:val="clear"/>
        <w:spacing w:after="80" w:line="228" w:lineRule="auto"/>
        <w:jc w:val="both"/>
      </w:pPr>
      <w:r>
        <w:rPr>
          <w:rFonts w:ascii="Arial" w:cs="Arial" w:eastAsia="Arial" w:hAnsi="Arial"/>
          <w:color w:val="1A1A1A"/>
          <w:sz w:val="16"/>
          <w:szCs w:val="16"/>
        </w:rPr>
        <w:t xml:space="preserve">Industria atractiva: con notas enteras por país ponderadas por el GLA de Mallplaza, la única fuerza intensa es la rivalidad (4), que se da en experiencia y activos y no en precio, ya que en el 2T26 los arriendos en mismas tiendas subieron en Chile en los tres operadores (tabla B).</w:t>
      </w:r>
    </w:p>
    <w:p>
      <w:pPr>
        <w:keepNext w:val="false"/>
        <w:pBdr>
          <w:bottom w:val="single" w:color="E9004B" w:sz="8" w:space="1"/>
        </w:pBdr>
        <w:spacing w:after="50" w:before="40"/>
      </w:pPr>
      <w:r>
        <w:rPr>
          <w:rFonts w:ascii="Arial" w:cs="Arial" w:eastAsia="Arial" w:hAnsi="Arial"/>
          <w:b/>
          <w:bCs/>
          <w:color w:val="14284B"/>
          <w:sz w:val="16"/>
          <w:szCs w:val="16"/>
        </w:rPr>
        <w:t xml:space="preserve">A. NOTAS POR PAÍS Y EVIDENCIA PRINCIPAL (1 = FUERZA DÉBIL; 5 = FUERZA INTENSA)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560"/>
        <w:gridCol w:w="780"/>
        <w:gridCol w:w="560"/>
        <w:gridCol w:w="7506"/>
      </w:tblGrid>
      <w:tr>
        <w:trPr>
          <w:tblHeader/>
        </w:trPr>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7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75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Rivalidad</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5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CR3 76% / 37% / 13%; carrera de reinversión en experiencia; compra de activos (Minka, Plaza Central; anunciadas Quilín y Chicureo); oferta que alcanza al consumo en 2027. Participaciones estables y márgenes de 71-90%. Sin guerra de precios: SSR/SAR positivos en Chile (tabla B).</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Nuevos entrantes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Poder de los locatarios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en Chile de los tres operadores 96-99% (2T26); contratos de 5,0-8,7 años promedio; top 5 = 18% de ingresos de Mallplaza; SSR Chile sobre IPC (6,9% vs 4,8%, 1T23-2T26); tiendas por departamento 19,0% del GLA.</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Poder de los proveedores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Sustitutos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iCs/>
          <w:color w:val="5F5F5F"/>
          <w:sz w:val="11"/>
          <w:szCs w:val="11"/>
        </w:rPr>
        <w:t xml:space="preserve">Fuente: análisis del equipo. Nota final = promedio ponderado por GLA de Mallplaza al 2Q26 (Chile 61,9%, Perú 26,2%, Colombia 11,9%), redondeado al entero. En nuevos entrantes el ponderado queda en el límite (1,5) y el equipo lo fija en 2 por las menores barreras de entrada en Perú y Colombia.</w:t>
      </w:r>
    </w:p>
    <w:p>
      <w:pPr>
        <w:keepNext w:val="false"/>
        <w:pBdr>
          <w:bottom w:val="single" w:color="E9004B" w:sz="8" w:space="1"/>
        </w:pBdr>
        <w:spacing w:after="50" w:before="120"/>
      </w:pPr>
      <w:r>
        <w:rPr>
          <w:rFonts w:ascii="Arial" w:cs="Arial" w:eastAsia="Arial" w:hAnsi="Arial"/>
          <w:b/>
          <w:bCs/>
          <w:color w:val="14284B"/>
          <w:sz w:val="16"/>
          <w:szCs w:val="16"/>
        </w:rPr>
        <w:t xml:space="preserve">B. INDICADORES DE PRECIO POR OPERADOR, 2T26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900"/>
        <w:gridCol w:w="800"/>
        <w:gridCol w:w="2300"/>
        <w:gridCol w:w="2300"/>
        <w:gridCol w:w="3206"/>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Indicador</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Mallplaza</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Cenco Malls</w:t>
            </w:r>
          </w:p>
        </w:tc>
        <w:tc>
          <w:tcPr>
            <w:tcW w:type="dxa" w:w="32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Parque Arauco</w:t>
            </w:r>
          </w:p>
        </w:tc>
      </w:tr>
      <w:tr>
        <w:trPr>
          <w:cantSplit w:val="false"/>
        </w:trPr>
        <w:tc>
          <w:tcPr>
            <w:tcW w:type="dxa" w:w="2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Arriendo en mismas tiendas o áreas (var. a/a)</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+5,4%</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+0,8%</w:t>
            </w:r>
          </w:p>
        </w:tc>
        <w:tc>
          <w:tcPr>
            <w:tcW w:type="dxa" w:w="32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SAR +3,8%</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+4,7%</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+11,0%</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+3,0%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+7,5%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−9,9%</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+13,0%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 mensual por m² (var. a/a)</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28.618 (+6,6%)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31.571 (+9,6%)</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66 (+10,0%)</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68 (−0,1%)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84.790 (+8,0%)</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125.932 (+10,3%)</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de ocupación (2T25)</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 (10,2%)</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 (8,8%)</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 (11,1%)*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(7,4%)</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 (8,8%)</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 (8,4%)*</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 (10,4%)</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 (7,5%)</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 (11,5%)*</w:t>
            </w:r>
          </w:p>
        </w:tc>
      </w:tr>
    </w:tbl>
    <w:p>
      <w:pPr>
        <w:keepNext w:val="false"/>
        <w:spacing w:after="0" w:before="10" w:line="216" w:lineRule="auto"/>
      </w:pPr>
      <w:r>
        <w:rPr>
          <w:rFonts w:ascii="Arial" w:cs="Arial" w:eastAsia="Arial" w:hAnsi="Arial"/>
          <w:i/>
          <w:iCs/>
          <w:color w:val="5F5F5F"/>
          <w:sz w:val="11"/>
          <w:szCs w:val="11"/>
        </w:rPr>
        <w:t xml:space="preserve">Fuente: Plaza S.A., Release 2Q26 (p.18); Cenco Malls, Presentación de Resultados 2T26 (p.17); Parque Arauco, Reporte de Resultados 2T26 (p.5, p.6 y p.21). Cada indicador según la definición de cada empresa: el SSR de Mallplaza considera arriendo fijo de Chile y la variación de la UF; el de Cenco Malls incluye arriendo variable (Cenco Malls 1T26: "SSR Chile acusa el efecto de menores ventas"); el SAR de Parque Arauco mide el arriendo recaudado en áreas arrendadas en ambos períodos. *Incluye gasto común y fondo de promoción: su nivel no es comparable, sí su variación. La variación del ingreso por m² de Mallplaza en Colombia (+8,0%) es cálculo del equipo: 84.790 / 78.545 − 1. Todo lo demás es dato publicado.</w:t>
      </w:r>
    </w:p>
    <w:p>
      <w:pPr>
        <w:keepNext w:val="false"/>
        <w:pBdr>
          <w:bottom w:val="single" w:color="14284B" w:sz="12" w:space="2"/>
        </w:pBdr>
        <w:spacing w:after="70" w:before="200"/>
      </w:pPr>
      <w:r>
        <w:rPr>
          <w:rFonts w:ascii="Arial" w:cs="Arial" w:eastAsia="Arial" w:hAnsi="Arial"/>
          <w:b/>
          <w:bCs/>
          <w:color w:val="14284B"/>
          <w:sz w:val="24"/>
          <w:szCs w:val="24"/>
        </w:rPr>
        <w:t xml:space="preserve">ANEXO 7: SUPUESTOS PRINCIPALES</w:t>
      </w:r>
    </w:p>
    <w:p>
      <w:pPr>
        <w:keepNext w:val="false"/>
        <w:shd w:fill="EEF1F6" w:color="auto" w:val="clear"/>
        <w:spacing w:after="80" w:line="228" w:lineRule="auto"/>
        <w:jc w:val="both"/>
      </w:pPr>
      <w:r>
        <w:rPr>
          <w:rFonts w:ascii="Arial" w:cs="Arial" w:eastAsia="Arial" w:hAnsi="Arial"/>
          <w:color w:val="1A1A1A"/>
          <w:sz w:val="16"/>
          <w:szCs w:val="16"/>
        </w:rPr>
        <w:t xml:space="preserve">Criterios usados para que las cifras sean comparables entre operadores y consistentes con los reportes oficiales al 2T26.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800"/>
        <w:gridCol w:w="9706"/>
      </w:tblGrid>
      <w:tr>
        <w:trPr>
          <w:tblHeader/>
        </w:trPr>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97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considera solo a los operadores identificados en la slide 7, por lo que es un piso (el HHI real es igual o mayor); se clasifica con los umbrales de las Merger Guidelines DOJ/FTC 2023 (sobre 1.800 = altamente concentrado). Colombia pro forma: incluye Gran Plaza (adquisición anunciada de 179.667 m²; Release 2Q26); sin ella, la participación de Mallplaza sería 4,3%.</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Malls. El consumo privado del IPoM sep-2026 se usa como indicador de demanda, no como proyección de ventas. GLA de los principales operadores en Chile ≈ GLA del trío sin oficinas ÷ 76% (participación del trío en ese universo, slide 7); no se dispone del GLA total del mercado, y la oferta del trío es una cota inferior de la oferta de la industria.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 Parque Arauco: se resta el NOI multifamily (503 MM CLP), cuyo tamaño se reporta en unidades y no en m²; efecto −0,7%, no cambia el orden.</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Cenco Malls lo indica explícitamente; Parque Arauco presenta su perfil de vencimientos en % del GLA, pero no indica la base de su duración promedio; Mallplaza no publica la base. En ambos casos se asume GLA.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Malls 2T25 calculado desde su variación publicada (−1,9%).</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Plaza (Perú)</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ajustado del 2T26 de InRetail, segmento Shopping Malls (S/ 131 MM; excluye revaluación de propiedades de inversión) ÷ GLA total de 888.000 m² (InRetail, Corporate Presentation 2Q26, p.26 y p.29). Mallplaza Perú: EBITDA mensual por m² publicado (S/ 53) × 3 (Release 2Q26, p.18). No se comparan márgenes: InRetail calcula el suyo sobre renta neta.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A8.1: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A8.2: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A8.3: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A8.4: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MATRIZ DE RIESGO ESG</w:t>
      </w:r>
    </w:p>
    <w:p>
      <w:pPr>
        <w:keepNext w:val="false"/>
        <w:spacing w:after="30" w:before="20" w:line="228" w:lineRule="auto"/>
      </w:pPr>
      <w:r>
        <w:rPr>
          <w:rFonts w:ascii="Arial" w:cs="Arial" w:eastAsia="Arial" w:hAnsi="Arial"/>
          <w:b/>
          <w:bCs/>
          <w:color w:val="14284B"/>
          <w:sz w:val="14"/>
          <w:szCs w:val="14"/>
        </w:rPr>
        <w:t xml:space="preserve">Figura A8.5: </w:t>
      </w:r>
      <w:r>
        <w:rPr>
          <w:rFonts w:ascii="Arial" w:cs="Arial" w:eastAsia="Arial" w:hAnsi="Arial"/>
          <w:color w:val="14284B"/>
          <w:sz w:val="14"/>
          <w:szCs w:val="14"/>
        </w:rPr>
        <w:t xml:space="preserve">Matriz de factores ESG y su efecto en el caso de inversión</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Materialidad, horizonte, capacidad de absorber pérdidas y efecto neto son juicios del equipo. Marco adaptado del enfoque de S&amp;P Global Ratings para factores ESG de crédito. Fuente: Memoria Mallplaza 2025, Bloomberg, MSCI, Sustainalytics, S&amp;P Global; análisis del equipo.</w:t>
      </w:r>
    </w:p>
    <w:p>
      <w:pPr>
        <w:keepNext w:val="false"/>
        <w:pBdr>
          <w:bottom w:val="single" w:color="E9004B" w:sz="8" w:space="1"/>
        </w:pBdr>
        <w:spacing w:after="50" w:before="160"/>
      </w:pPr>
      <w:r>
        <w:rPr>
          <w:rFonts w:ascii="Arial" w:cs="Arial" w:eastAsia="Arial" w:hAnsi="Arial"/>
          <w:b/>
          <w:bCs/>
          <w:color w:val="14284B"/>
          <w:sz w:val="16"/>
          <w:szCs w:val="16"/>
        </w:rPr>
        <w:t xml:space="preserve">8. TRACK RECORD DEL EQUIPO EJECUTIVO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Nombre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Cargo en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Antigüedad</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Experiencia previa</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Perfil y responsabilidades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(desde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Perfil comercial; experiencia en integraciones regionales.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(hasta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Conduce la compañía hasta 2025; amplia trayectoria en el retail latinoamericano.</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Administración y Finanzas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Experiencia internacional; su área lidera la estructura financiera y el ingreso a índices globales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Gerente de Tecnología</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 la modernización de las ventas omnicanal y de la ciberseguridad corporativa.</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Personas y Cultura</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Más de 20 años de trayectoria internacional en gestión de talento.</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Desarrollo y Negocios</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del crecimiento mediante M&amp;A y desarrollos greenfield.</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Legal, Riesgos y Cumplimiento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legal corporativo y de la gestión de riesgos y cumplimiento.</w:t>
            </w:r>
          </w:p>
        </w:tc>
      </w:tr>
    </w:tbl>
    <w:p>
      <w:pPr>
        <w:keepNext w:val="false"/>
        <w:spacing w:after="0" w:before="10" w:line="216" w:lineRule="auto"/>
      </w:pPr>
      <w:r>
        <w:rPr>
          <w:rFonts w:ascii="Arial" w:cs="Arial" w:eastAsia="Arial" w:hAnsi="Arial"/>
          <w:color w:val="5F5F5F"/>
          <w:sz w:val="11"/>
          <w:szCs w:val="11"/>
        </w:rPr>
        <w:t xml:space="preserve">Fuente: información pública de la compañía; Punteo del equipo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50"/>
              <w:gridCol w:w="2350"/>
              <w:gridCol w:w="1375"/>
              <w:gridCol w:w="4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3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88.350 m² (2028, con 46.500 m² de otros proyectos en Chile); rampa 35/90/100%; 170.200 m² en total</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Memoria 2025 (p. 45)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continua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m²/año que abren desde 2029E (67% Chile / 33% Perú); USD 3.603/m² a IPC; capex 50% en t−2 y 50% en t−1 (desde 2027E); margen 80,7%; yield on cost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 2022, 2023, 2025; costo/m²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sin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0,704% de los ingresos desde 2S26E; 2026E = 1S26 real (2.993) + 2S26E (2.565)</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(4.766 / 677.333)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 tasa de Chile sobre todo el EBIT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Perú/Colombia en Anexo 18</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mantención + TI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 (2S26E: medio año)</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incremental: pipeline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579 MM restantes a jun-26 (USD 445 MM de proyectos con fecha + USD 134 MM de otros proyectos en Chile), repartidos hasta la apertura (2S26E–28E)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 análisis del equipo</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incremental: expansión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continua (arriba); capex incremental terminal = 0 (g real 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RONIC 5,3% &lt; WACC real 7,2%</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 greenfield (Mallplaza Cali)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0,7 MM UDM jun-26 vs USD 55,2 MM en 2023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Inmaterial</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 Gran Plaza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Hecho posterior: contrato del 31-jul-26 sujeto a la SIC (Nota 30); USD 376 MM a cap rate 9,4% (NOI UDM); ~−CLP 11/acción a nuestro cap rate (Anexo 18)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Posterior a la valoración (30-jun-26)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PwC Tax Summaries (jul-26);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125"/>
              <w:gridCol w:w="615"/>
              <w:gridCol w:w="615"/>
              <w:gridCol w:w="615"/>
              <w:gridCol w:w="615"/>
              <w:gridCol w:w="54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c>
                <w:tcPr>
                  <w:tcW w:type="dxa" w:w="5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 act.</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405,0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472,1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507,1</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no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5.510,1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7.111,5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7.478,6</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totales</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4.796,3</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5.915,1</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7.583,6</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7.985,7</w:t>
                  </w:r>
                </w:p>
              </w:tc>
              <w:tc>
                <w:tcPr>
                  <w:tcW w:type="dxa" w:w="5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Pasivos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344,5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307,1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203,2</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Pasivos no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2.379,5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2.752,0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2.910,8</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 (CP + LP)</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Patrimonio total</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3.191,0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4.524,6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4.871,7</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Patrimonio atribuible</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2.601,1</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3.157,9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4.482,9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4.820,9</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60,4%</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Análisis vertical: % de los activos totales a jun-26; el balance es 92% propiedades a valor razonable y los impuestos diferidos (CLP 1.314 mil MM) equivalen al 80% de la deuda bruta. Fuente: EEFF Plaza S.A. (CMF) dic-24, dic-25, jun-26.</w:t>
            </w:r>
          </w:p>
          <w:p>
            <w:pPr>
              <w:keepNext w:val="false"/>
              <w:spacing w:after="30" w:before="100" w:line="228" w:lineRule="auto"/>
            </w:pPr>
            <w:r>
              <w:rPr>
                <w:rFonts w:ascii="Arial" w:cs="Arial" w:eastAsia="Arial" w:hAnsi="Arial"/>
                <w:b/>
                <w:bCs/>
                <w:color w:val="14284B"/>
                <w:sz w:val="14"/>
                <w:szCs w:val="14"/>
              </w:rPr>
              <w:t xml:space="preserve">Anexo 10D: </w:t>
            </w:r>
            <w:r>
              <w:rPr>
                <w:rFonts w:ascii="Arial" w:cs="Arial" w:eastAsia="Arial" w:hAnsi="Arial"/>
                <w:color w:val="14284B"/>
                <w:sz w:val="14"/>
                <w:szCs w:val="14"/>
              </w:rPr>
              <w:t xml:space="preserve">Fuentes y usos de caja y variación del flujo operativo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750"/>
              <w:gridCol w:w="75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nueva (bonos + préstamos)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245,7</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57,9</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recibidos y otros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fuentes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(PI + intangibles + PP&amp;E)</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Amortización de deuda</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332,2</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52,4</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Minoritarios y otros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Aumento de caja (antes de FX)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89,0</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72,9</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usos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Cobertura del dividendo: FCF antes de deuda</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1,7x</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Cobertura tras amortización neta de deuda</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Compromisos contractuales de capex (Nota 11)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78,0</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Covenant DFN / patrimonio (≤ 2,0x; Nota 25)</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0,29x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0,26x</w:t>
                  </w:r>
                </w:p>
              </w:tc>
            </w:tr>
          </w:tbl>
          <w:tbl>
            <w:tblPr>
              <w:tblW w:type="dxa" w:w="460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Δ flujo operativo</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1S25</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Cobros por ventas y servicios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458,3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Pagos a proveedores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Pagos a empleados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Otros pagos operativos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Impuestos pagados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Otras entradas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Flujo operativo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186,3</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258,2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bl>
          <w:p>
            <w:pPr>
              <w:keepNext w:val="false"/>
              <w:spacing w:after="0" w:before="10" w:line="216" w:lineRule="auto"/>
              <w:jc w:val="both"/>
            </w:pPr>
            <w:r>
              <w:rPr>
                <w:rFonts w:ascii="Arial" w:cs="Arial" w:eastAsia="Arial" w:hAnsi="Arial"/>
                <w:color w:val="5F5F5F"/>
                <w:sz w:val="11"/>
                <w:szCs w:val="11"/>
              </w:rPr>
              <w:t xml:space="preserve">El alza de 1S26 viene de cobros (en parte saldos de diciembre: días de cobro de 66 a 50) e impuestos pagados menores; no se extrapola. FCF = flujo operativo − capex − intereses netos (2025: 68,2 pagados − 10,8 recibidos = 57,4, estos últimos dentro de «Intereses recibidos y otros»; 1S26: 30,1 − 8,5 = 21,6). Fuente: EEFF dic-25 y jun-26, estado de flujos directo; Notas 11 y 25.</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normalizado (utilidad distribuible)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ROIC − WACC real (7,2%), pp</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Capital de trabajo neto operativo / ingresos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Puente de margen (punto 2)</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(costo de ventas + GAV)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D&amp;A incluida en esos costos / ingresos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 1 − margen EBITDA</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23,0%</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19,5%</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 / EBITDA mensual por m² (CLP, UDM jun-26)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24.006 / 19.241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r>
          </w:tbl>
          <w:p>
            <w:pPr>
              <w:keepNext w:val="false"/>
              <w:spacing w:after="0" w:before="10" w:line="216" w:lineRule="auto"/>
              <w:jc w:val="both"/>
            </w:pPr>
            <w:r>
              <w:rPr>
                <w:rFonts w:ascii="Arial" w:cs="Arial" w:eastAsia="Arial" w:hAnsi="Arial"/>
                <w:color w:val="5F5F5F"/>
                <w:sz w:val="11"/>
                <w:szCs w:val="11"/>
              </w:rPr>
              <w:t xml:space="preserve">El ROIC es un rendimiento en caja sobre capital a valor razonable (sin la revalorización de las propiedades): se compara con la WACC real, no con la nominal. Los costos operativos incluyen la D&amp;A; sin ella son exactamente 1 − margen EBITDA. Apalancamiento jun-26 sobre EBITDA UDM; días de cobro dic-24 n.s. (Perú consolida un mes). Fuente: EEFF (CMF); Análisis Razonado 1S26; Release 2Q26 (p. 8; m²); análisis del equipo.</w:t>
            </w:r>
          </w:p>
          <w:p>
            <w:pPr>
              <w:keepNext w:val="false"/>
              <w:spacing w:after="30" w:before="100" w:line="228" w:lineRule="auto"/>
            </w:pPr>
            <w:r>
              <w:rPr>
                <w:rFonts w:ascii="Arial" w:cs="Arial" w:eastAsia="Arial" w:hAnsi="Arial"/>
                <w:b/>
                <w:bCs/>
                <w:color w:val="14284B"/>
                <w:sz w:val="14"/>
                <w:szCs w:val="14"/>
              </w:rPr>
              <w:t xml:space="preserve">Anexo 11B: </w:t>
            </w:r>
            <w:r>
              <w:rPr>
                <w:rFonts w:ascii="Arial" w:cs="Arial" w:eastAsia="Arial" w:hAnsi="Arial"/>
                <w:color w:val="14284B"/>
                <w:sz w:val="14"/>
                <w:szCs w:val="14"/>
              </w:rPr>
              <w:t xml:space="preserve">Puente DFN/EBITDA dic-24 → jun-26 (CLP mil MM)</w:t>
            </w:r>
          </w:p>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325"/>
              <w:gridCol w:w="700"/>
              <w:gridCol w:w="7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DFN</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EBITDA</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x</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dic-24 reportado (Perú consolida un mes)</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Perímetro: Perú 12 meses en vez de 1 (UDM jun-26: 104,3 − 9,5)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475,5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3,03x</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−0,75x</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del EBITDA del resto (a jun-26)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2,64x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−0,39x</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Menor DFN = jun-26 reportado</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1.285,7</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2,36x</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−0,28x</w:t>
                  </w:r>
                </w:p>
              </w:tc>
            </w:tr>
          </w:tbl>
          <w:p>
            <w:pPr>
              <w:keepNext w:val="false"/>
              <w:spacing w:after="0" w:before="10" w:line="216" w:lineRule="auto"/>
              <w:jc w:val="both"/>
            </w:pPr>
            <w:r>
              <w:rPr>
                <w:rFonts w:ascii="Arial" w:cs="Arial" w:eastAsia="Arial" w:hAnsi="Arial"/>
                <w:color w:val="5F5F5F"/>
                <w:sz w:val="11"/>
                <w:szCs w:val="11"/>
              </w:rPr>
              <w:t xml:space="preserve">Perú = ingresos − costo de ventas − GAV del segmento (EEFF dic-24 Nota 31; dic-25 Nota 25; jun-26 Nota 24). Usar el UDM jun-26 como proxy del año completo hace de 3,03x una cota inferior del pro forma de 2024.</w:t>
            </w:r>
          </w:p>
          <w:p>
            <w:pPr>
              <w:keepNext w:val="false"/>
              <w:spacing w:after="30" w:before="100" w:line="228" w:lineRule="auto"/>
            </w:pPr>
            <w:r>
              <w:rPr>
                <w:rFonts w:ascii="Arial" w:cs="Arial" w:eastAsia="Arial" w:hAnsi="Arial"/>
                <w:b/>
                <w:bCs/>
                <w:color w:val="14284B"/>
                <w:sz w:val="14"/>
                <w:szCs w:val="14"/>
              </w:rPr>
              <w:t xml:space="preserve">Anexo 11C: </w:t>
            </w:r>
            <w:r>
              <w:rPr>
                <w:rFonts w:ascii="Arial" w:cs="Arial" w:eastAsia="Arial" w:hAnsi="Arial"/>
                <w:color w:val="14284B"/>
                <w:sz w:val="14"/>
                <w:szCs w:val="14"/>
              </w:rPr>
              <w:t xml:space="preserve">Cifras del texto: cálculo y fuente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125"/>
              <w:gridCol w:w="650"/>
              <w:gridCol w:w="1450"/>
            </w:tblGrid>
            <w:tr>
              <w:trPr>
                <w:tblHeader/>
              </w:trPr>
              <w:tc>
                <w:tcPr>
                  <w:tcW w:type="dxa" w:w="3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Cifra</w:t>
                  </w:r>
                </w:p>
              </w:tc>
              <w:tc>
                <w:tcPr>
                  <w:tcW w:type="dxa" w:w="6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Valor</w:t>
                  </w:r>
                </w:p>
              </w:tc>
              <w:tc>
                <w:tcPr>
                  <w:tcW w:type="dxa" w:w="1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Fuente</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Alza de la PI de Chile por valor razonable (1.141,2 / PI Chile dic-24 3.933,0)</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29,0%</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Efecto de la tasa: (6,62% − 0,5%) / (5,64% − 0,5%) − 1, perpetuidad</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Nota 11: puntos medios dic-24 / dic-25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Participación de la tasa en el alza («dos tercios»)</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Cálculo</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2025 por perímetro: (121,3 − 13,6) / 494,6</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 pp</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2025 sin Perú: 532,6 / 481,0 − 1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10,7%</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2026E (704,0) vs consenso BEst (701,7; 13 analistas)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EE/ANR, 17-oct-26</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2026E (561,3) vs consenso BEst (569,1)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 17-oct-26</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2025 con el mismo método que los pares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10,0%</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Anexo 14</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05"/>
              <w:tblBorders>
                <w:top w:val="none" w:color="FFFFFF" w:sz="0"/>
                <w:left w:val="none" w:color="FFFFFF" w:sz="0"/>
                <w:bottom w:val="none" w:color="FFFFFF" w:sz="0"/>
                <w:right w:val="none" w:color="FFFFFF" w:sz="0"/>
                <w:insideH w:val="none" w:color="FFFFFF" w:sz="0"/>
                <w:insideV w:val="none" w:color="FFFFFF" w:sz="0"/>
              </w:tblBorders>
            </w:tblPr>
            <w:tblGrid>
              <w:gridCol w:w="1815"/>
              <w:gridCol w:w="565"/>
              <w:gridCol w:w="565"/>
              <w:gridCol w:w="565"/>
              <w:gridCol w:w="565"/>
              <w:gridCol w:w="565"/>
              <w:gridCol w:w="565"/>
            </w:tblGrid>
            <w:tr>
              <w:trPr>
                <w:tblHeader/>
              </w:trPr>
              <w:tc>
                <w:tcPr>
                  <w:tcW w:type="dxa" w:w="18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619,6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continua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23,0</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826,7</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886,8</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935,6</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8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659,2</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707,4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746,3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783,6</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555,8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776,7</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1S26 real (sin apertura)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mantención + TI</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(52,8)</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incremental — pipeline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(130,5)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(155,4)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Capex incremental — expansión continua</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(95,3)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(101,1)</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(104,2)</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total</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(234,1)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(296,2)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(156,9)</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460,4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491,3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454,4</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(175,3)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(176,5)</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(412,6)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(416,5)</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D&amp;A 3,0 + 2,6; el capex de 1S26 (84,2) no tiene apertura por tipo en el release; Δ capital de trabajo y distribuciones adicionales cubren solo 2S26E. FFO = (EBITDA − costo financiero neto) × (1 − impuesto en caja), antes de minoritarios (~1%); utilidad distribuible = FFO − reajuste UF (aproximación del modelo para proyectar; 2025A es la cifra auditada de CLP 369 mil MM, Nota 20e). Fuente: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Con el mismo ajuste,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325"/>
              <w:gridCol w:w="933"/>
              <w:gridCol w:w="933"/>
              <w:gridCol w:w="1034"/>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 Malls</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 (consolidado)</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 mismo método para los tres</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normalizado — Mallplaza con utilidad distribuible</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(deuda neta / PI)</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con inversiones en JV/asociadas en el denominador</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40,6%</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Normalizado = utilidad atribuible − revalorización × (1 − 27%) × % atribuible a la controladora; revalorización = resultado operacional − (EBITDA − D&amp;A) en Mallplaza y Parque Arauco, y −otros ingresos op. netos en Cenco Malls. Límites: 27% uniforme (Perú 29,5%, Colombia 35%); EBITDA de Cenco Malls = ingresos × margen ajustado de Bloomberg; los tres operan en Chile, Perú y Colombia, con pesos distintos. Inversión de Parque Arauco en asociadas: CLP 209,2 mil MM (dic-25).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4"/>
          <w:szCs w:val="14"/>
        </w:rPr>
        <w:t xml:space="preserve">FCFF en CLP nominales desde el 30-jun-26, con convención de mitad de período y la WACC de cada período (Anexo 19). El capex se separa en mantención y TI (5,5% de los ingresos) y capex incremental (pipeline en curso y expansión continua). El valor terminal usa el FCFF 2032E con g de 3,0% nominal (0% real: el capex incremental terminal es cero porque el RONIC queda bajo la WACC real) y la WACC terminal de 10,41%, e incluye 108.301 m² de GLA que maduran después de 2031. Explica el 78% del EV. Las secciones D y E desglosan cada línea y prueban que cuadra con el DCF.</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pipeline en curso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1.391</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7.292.232 MM (cap rate implícito del VT 11,3%; EV/EBITDA UDM implícito del EV 9,9x). La deuda neta de Bloomberg (CLP 1.311.569 MM, usada en múltiplos) difiere de la DFN en los pasivos por arrendamiento NIIF 16 (CLP 25.828 MM a jun-26). Fuente: análisis del equipo; 2.190 MM de acciones.</w:t>
      </w:r>
    </w:p>
    <w:p>
      <w:pPr>
        <w:keepNext w:val="false"/>
        <w:pBdr>
          <w:bottom w:val="single" w:color="E9004B" w:sz="8" w:space="1"/>
        </w:pBdr>
        <w:spacing w:after="50" w:before="100"/>
      </w:pPr>
      <w:r>
        <w:rPr>
          <w:rFonts w:ascii="Arial" w:cs="Arial" w:eastAsia="Arial" w:hAnsi="Arial"/>
          <w:b/>
          <w:bCs/>
          <w:color w:val="14284B"/>
          <w:sz w:val="16"/>
          <w:szCs w:val="16"/>
        </w:rPr>
        <w:t xml:space="preserve">D. DESGLOSE DE LAS LÍNEAS DEL DCF (CLP MM SALVO INDICACIÓN)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Ingresos: base + expansión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(motor operativo)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Expansión continua (cohortes desde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Perú / Colombia, año calendario (CLP mil MM)</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Puente al terminal: + maduración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EBITDA y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base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EBITDA de la expansión (margen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Chile / Perú / Colombia, año calendario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0,704% × ingresos totales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Impuesto, capex y capital de trabajo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Impuesto = EBIT × tasa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que abre en el año (m²; pipeline y expansión)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total / ingresos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 ingresos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Δ ingresos para capital de trabajo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bl>
    <w:p>
      <w:pPr>
        <w:keepNext w:val="false"/>
        <w:spacing w:after="0" w:before="10" w:line="216" w:lineRule="auto"/>
      </w:pPr>
      <w:r>
        <w:rPr>
          <w:rFonts w:ascii="Arial" w:cs="Arial" w:eastAsia="Arial" w:hAnsi="Arial"/>
          <w:color w:val="5F5F5F"/>
          <w:sz w:val="11"/>
          <w:szCs w:val="11"/>
        </w:rPr>
        <w:t xml:space="preserve">Ingresos por país del Anexo 13 (año calendario; precisión 0,1 mil MM). Capex 1S26 sin apertura por tipo: el release solo da la apertura UDM (USD 132,5 MM: mantención 40,0; TI y otros 10,2; brownfield 52,5; reconversión 29,1; greenfield 0,7). Yield on cost 7,3%; RONIC real 5,3% vs WACC real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 CONTROL DE CUADRATURA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Línea: desglose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Máx. |dif.| 2S26E–Terminal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total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operacional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total (mantención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terminal / VP del VT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por acción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LECTURA</w:t>
            </w:r>
          </w:p>
          <w:p>
            <w:pPr>
              <w:keepNext w:val="false"/>
              <w:shd w:fill="EEF1F6" w:color="auto" w:val="clear"/>
              <w:spacing w:after="40" w:line="216" w:lineRule="auto"/>
              <w:jc w:val="both"/>
            </w:pPr>
            <w:r>
              <w:rPr>
                <w:rFonts w:ascii="Arial" w:cs="Arial" w:eastAsia="Arial" w:hAnsi="Arial"/>
                <w:color w:val="1A1A1A"/>
                <w:sz w:val="14"/>
                <w:szCs w:val="14"/>
              </w:rPr>
              <w:t xml:space="preserve">Máxima diferencia absoluta en todas las líneas y períodos: 0. El desglose solo reordena el DCF: EV CLP 5.407.032 MM, valor DCF CLP 1.859 y precio objetivo CLP 2.077. El capex incremental (pipeline + expansión) pesa 38%–36% de los ingresos en 2S26E–2027E y ~11% desde 2029E; la mantención, 5,5%. El terminal solo financia mantención: crecer con un RONIC real de 5,3% bajo una WACC real de 7,2% restaría valor (Figura 23).</w:t>
            </w:r>
          </w:p>
          <w:p>
            <w:pPr>
              <w:keepNext w:val="false"/>
              <w:shd w:fill="EEF1F6" w:color="auto" w:val="clear"/>
              <w:spacing w:after="40" w:line="216" w:lineRule="auto"/>
              <w:jc w:val="both"/>
            </w:pPr>
            <w:r>
              <w:rPr>
                <w:rFonts w:ascii="Arial" w:cs="Arial" w:eastAsia="Arial" w:hAnsi="Arial"/>
                <w:color w:val="1A1A1A"/>
                <w:sz w:val="14"/>
                <w:szCs w:val="14"/>
              </w:rPr>
              <w:t xml:space="preserve">El valor terminal parte de los ingresos 2031E (982.334), suma la maduración de la expansión ya financiada (+17.858; el ingreso maduro bruto, 40.818, incluye 22.960 ya presentes en 2031E) e indexa por inflación (+30.006) hasta 1.030.197; el FCFF 2032E = NOPAT 594.732 + D&amp;A 7.249 − mantención 56.661 − capital de trabajo 4.682 = 540.638.</w:t>
            </w:r>
          </w:p>
        </w:tc>
      </w:tr>
    </w:tbl>
    <w:p>
      <w:pPr>
        <w:keepNext w:val="false"/>
        <w:pBdr>
          <w:bottom w:val="single" w:color="14284B" w:sz="18" w:space="2"/>
        </w:pBdr>
        <w:spacing w:after="80" w:before="20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4"/>
          <w:szCs w:val="14"/>
        </w:rPr>
        <w:t xml:space="preserve">El forecast base sigue el motor operativo del equipo con el pipeline completo con fecha (170.200 m², pipeline anunciado hasta 2028, incluidos 46.500 m² de otros proyectos en Chile);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 la columna 2S26E muestra 2026E completo)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 (año calendario)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proyectos en curso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proyectos en curso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total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294.192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250.711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que abre en el año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 Memoria 2025)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 (desde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terminal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 (g real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 (UDM 2T26)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pBdr>
          <w:bottom w:val="single" w:color="E9004B" w:sz="8" w:space="1"/>
        </w:pBdr>
        <w:spacing w:after="50" w:before="100"/>
      </w:pPr>
      <w:r>
        <w:rPr>
          <w:rFonts w:ascii="Arial" w:cs="Arial" w:eastAsia="Arial" w:hAnsi="Arial"/>
          <w:b/>
          <w:bCs/>
          <w:color w:val="14284B"/>
          <w:sz w:val="16"/>
          <w:szCs w:val="16"/>
        </w:rPr>
        <w:t xml:space="preserve">D. CALENDARIO DE LA DEUDA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de apertura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Costo financiero neto, después de impuestos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Reajuste UF, después de impuestos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Dividendos ordinarios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Distribución adicional (recompra / dividendo extra)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DFN de cierre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 EBITDA de cierre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de cierre (caja constante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3.090.244</w:t>
            </w:r>
          </w:p>
        </w:tc>
      </w:tr>
    </w:tbl>
    <w:p>
      <w:pPr>
        <w:keepNext w:val="false"/>
        <w:spacing w:after="0" w:before="10" w:line="216" w:lineRule="auto"/>
      </w:pPr>
      <w:r>
        <w:rPr>
          <w:rFonts w:ascii="Arial" w:cs="Arial" w:eastAsia="Arial" w:hAnsi="Arial"/>
          <w:color w:val="5F5F5F"/>
          <w:sz w:val="11"/>
          <w:szCs w:val="11"/>
        </w:rPr>
        <w:t xml:space="preserve">DFN(t) = DFN(t−1) − FCFF + costo financiero y reajuste UF después de impuestos + dividendos ordinarios + distribución adicional, que lleva la DFN a la trayectoria objetivo (2,36x → 3,5x). Costo financiero: 3,08% de la DFN + 25 pb por vuelta sobre 2,36x; reajuste UF sobre 79% de la deuda a 3,0%. Vencimientos de bonos: Figura 18. Fuente: Release 2T26; EEFF dic-25; análisis del equipo.</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4"/>
          <w:szCs w:val="14"/>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análisis del equipo.</w:t>
      </w:r>
    </w:p>
    <w:p>
      <w:pPr>
        <w:keepNext w:val="false"/>
        <w:pBdr>
          <w:bottom w:val="single" w:color="14284B" w:sz="18" w:space="2"/>
        </w:pBdr>
        <w:spacing w:after="80" w:before="20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4"/>
          <w:szCs w:val="14"/>
        </w:rPr>
        <w:t xml:space="preserve">Ningún escenario ni método alternativo alcanza el precio de CLP 3.555. Los escenarios se calculan con la réplica del DCF (reproduce exactamente el valor base) y el precio objetivo mantiene el 80% DCF y el valor por múltiplos de CLP 2.951. Bear es todo lo que sale mal a la vez; bull, todo lo que sale bien; ambos con las mismas palancas del tornado de Riesgos.</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6266"/>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62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 (todos a la vez)</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Todo sale mal: WACC nominal +100 pb en todos los períodos; margen EBITDA 75,8%, ocupación 95,1%, arriendo mismas tiendas 2027–28 3,7%, ventas de locatarios 3,7%, crecimiento real 2029–31 en el piso de la Nota 11, visitas 5,6%, capex de mantención 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62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Central: modelo v4; WACC nominal 10,54% → 10,41%; g 3,0%; margen 79,7%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Todo sale bien: WACC nominal −100 pb; margen 81,3%, ocupación 96,6%, arriendo mismas tiendas 9,4%, ventas de locatarios 9,9%, crecimiento real en el techo de la Nota 11, visitas 17,3%, capex de mantención 4,8%; impuesto en caja con techo de 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62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w:t>
            </w:r>
          </w:p>
        </w:tc>
      </w:tr>
    </w:tbl>
    <w:p>
      <w:pPr>
        <w:keepNext w:val="false"/>
        <w:spacing w:after="0" w:before="10" w:line="216" w:lineRule="auto"/>
      </w:pPr>
      <w:r>
        <w:rPr>
          <w:rFonts w:ascii="Arial" w:cs="Arial" w:eastAsia="Arial" w:hAnsi="Arial"/>
          <w:color w:val="5F5F5F"/>
          <w:sz w:val="11"/>
          <w:szCs w:val="11"/>
        </w:rPr>
        <w:t xml:space="preserve">Bear y bull son escenarios extremos ilustrativos, sin probabilidad asignada: la probabilidad de los resultados se estima con la simulación de la sección siguiente (Figura A18.1). Fuente: análisis del equipo.</w:t>
      </w:r>
    </w:p>
    <w:p>
      <w:pPr>
        <w:keepNext w:val="false"/>
        <w:pBdr>
          <w:bottom w:val="single" w:color="E9004B" w:sz="8" w:space="1"/>
        </w:pBdr>
        <w:spacing w:after="50" w:before="120"/>
      </w:pPr>
      <w:r>
        <w:rPr>
          <w:rFonts w:ascii="Arial" w:cs="Arial" w:eastAsia="Arial" w:hAnsi="Arial"/>
          <w:b/>
          <w:bCs/>
          <w:color w:val="14284B"/>
          <w:sz w:val="16"/>
          <w:szCs w:val="16"/>
        </w:rPr>
        <w:t xml:space="preserve">MONTE CARLO: DISTRIBUCIÓN DEL PRECIO OBJETIVO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900"/>
              <w:tblBorders>
                <w:top w:val="none" w:color="FFFFFF" w:sz="0"/>
                <w:left w:val="none" w:color="FFFFFF" w:sz="0"/>
                <w:bottom w:val="none" w:color="FFFFFF" w:sz="0"/>
                <w:right w:val="none" w:color="FFFFFF" w:sz="0"/>
                <w:insideH w:val="none" w:color="FFFFFF" w:sz="0"/>
                <w:insideV w:val="none" w:color="FFFFFF" w:sz="0"/>
              </w:tblBorders>
            </w:tblPr>
            <w:tblGrid>
              <w:gridCol w:w="3400"/>
              <w:gridCol w:w="1500"/>
            </w:tblGrid>
            <w:tr>
              <w:trPr>
                <w:tblHeader/>
              </w:trPr>
              <w:tc>
                <w:tcPr>
                  <w:tcW w:type="dxa" w:w="3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Precio objetivo simulado (CLP)</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2.057</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2.047</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Desviación estándar</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P5 / P25</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1.799 / 1.940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P75 / P95</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2.164 / 2.354</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 objetivo ≥ CLP 3.555 (precio)</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 objetivo ≥ CLP 4.111 (consenso)</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 objetivo &lt; CLP 2.077 (caso base)</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57,3%</w:t>
                  </w:r>
                </w:p>
              </w:tc>
            </w:tr>
          </w:tbl>
          <w:p>
            <w:pPr>
              <w:keepNext w:val="false"/>
              <w:spacing w:after="20" w:before="40"/>
            </w:pPr>
            <w:r>
              <w:rPr>
                <w:rFonts w:ascii="Arial" w:cs="Arial" w:eastAsia="Arial" w:hAnsi="Arial"/>
                <w:color w:val="1A1A1A"/>
                <w:sz w:val="13"/>
                <w:szCs w:val="13"/>
              </w:rPr>
              <w:t xml:space="preserve">Contribución a la varianza (correlación de rangos): WACC 80,8%; Arriendo mismas tiendas 6,2%; Margen EBITDA 6,1%; g nominal 3,2%.</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A18.1: </w:t>
            </w:r>
            <w:r>
              <w:rPr>
                <w:rFonts w:ascii="Arial" w:cs="Arial" w:eastAsia="Arial" w:hAnsi="Arial"/>
                <w:color w:val="14284B"/>
                <w:sz w:val="14"/>
                <w:szCs w:val="14"/>
              </w:rPr>
              <w:t xml:space="preserve">Distribución del precio objetivo en 10.000 simulaciones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257425" cy="18764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100% de las simulaciones queda bajo el precio de CLP 3.555. Fuente: análisis del equipo.</w:t>
            </w:r>
          </w:p>
        </w:tc>
      </w:tr>
    </w:tbl>
    <w:p>
      <w:pPr>
        <w:keepNext w:val="false"/>
        <w:spacing w:after="0" w:before="10" w:line="216" w:lineRule="auto"/>
      </w:pPr>
      <w:r>
        <w:rPr>
          <w:rFonts w:ascii="Arial" w:cs="Arial" w:eastAsia="Arial" w:hAnsi="Arial"/>
          <w:color w:val="5F5F5F"/>
          <w:sz w:val="11"/>
          <w:szCs w:val="11"/>
        </w:rPr>
        <w:t xml:space="preserve">Supuestos: 10.000 iteraciones, semilla 42; distribuciones triangulares (mín/base/máx, extremos 4T23–2T26 del tornado de Riesgos): margen EBITDA 75,8%/80,6%/81,3%, ocupación 95,1%/95,6%/96,6%, arriendo mismas tiendas 2027–28 3,7%/5,4%/9,4%, ventas de locatarios 3,7%/3,7%/9,9% (correlación 0,5 con el arriendo, cópula gaussiana; el resto independiente), visitas 5,6%/9,8%/17,3%, capex de mantención + TI 4,8%/5,5%/6,6%, g nominal 2,5%/3,0%/4,0%, crecimiento real 2029–31 entre piso y techo de la Nota 11. WACC: desplazamiento normal, media 0, desviación 50 pb, truncado en ±150 pb. Impuesto 27% (sin la rebaja a 23%). Objetivo = 80% DCF + 20% múltiplos fijos (CLP 2.951); con todo en su valor base reproduce DCF CLP 1.859 y objetivo CLP 2.077. Fuente: análisis del equipo.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EFECTO DE CADA PALANCA SOLA EN EL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Palanca (extremos del tornado)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Arriendo en mismas tiendas 2027–28 (precio)</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Visitas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2027–28 (renta variable)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±100 pb</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23% (solo bull)</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+136</w:t>
                  </w:r>
                </w:p>
              </w:tc>
            </w:tr>
          </w:tbl>
          <w:p>
            <w:pPr>
              <w:keepNext w:val="false"/>
              <w:pBdr>
                <w:bottom w:val="single" w:color="E9004B" w:sz="8" w:space="1"/>
              </w:pBdr>
              <w:spacing w:after="50" w:before="100"/>
            </w:pPr>
            <w:r>
              <w:rPr>
                <w:rFonts w:ascii="Arial" w:cs="Arial" w:eastAsia="Arial" w:hAnsi="Arial"/>
                <w:b/>
                <w:bCs/>
                <w:color w:val="14284B"/>
                <w:sz w:val="16"/>
                <w:szCs w:val="16"/>
              </w:rPr>
              <w:t xml:space="preserve">D. SENSIBILIDADES ADICIONALES (FUERA DEL CASO BASE)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Sensibilidad</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por jurisdicción: Perú 29,5%, Colombia 35% (tasa ponderada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al run-rate de 1S26 (0,88% vs 0,704% de los ingresos)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Gran Plaza incluida: USD 376 MM a cap rate 9,4% (orden de magnitud)</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−41,8%</w:t>
                  </w:r>
                </w:p>
              </w:tc>
            </w:tr>
          </w:tbl>
          <w:p/>
        </w:tc>
      </w:tr>
    </w:tbl>
    <w:p>
      <w:pPr>
        <w:keepNext w:val="false"/>
        <w:spacing w:after="0" w:before="10" w:line="216" w:lineRule="auto"/>
      </w:pPr>
      <w:r>
        <w:rPr>
          <w:rFonts w:ascii="Arial" w:cs="Arial" w:eastAsia="Arial" w:hAnsi="Arial"/>
          <w:color w:val="5F5F5F"/>
          <w:sz w:val="11"/>
          <w:szCs w:val="11"/>
        </w:rPr>
        <w:t xml:space="preserve">Bear y bull: cada palanca en el mínimo/máximo histórico del tornado de Riesgos (Earnings Releases 4Q23 y 3Q25 para el margen; Nota 11 para el crecimiento real de largo plazo) en todos los años; el bull no recalcula el escudo fiscal de la WACC. Sección D: tasa de cada año escalada por la mezcla de EBITDA por país (Chile ~70%, Perú ~20%, Colombia ~10%; PwC Tax Summaries, Perú revisado 13-jul-26, Colombia 21-jul-26); Gran Plaza a nuestro cap rate implícito (10,1%) − precio pagado, con un cap rate sobre EBITDA aplicado a un NOI. Ninguna cambia la recomendación. Fuente: análisis del equipo.</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Análisis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real de la última emisión en UF (caso base)</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(dic-25) / market cap a CLP 3.610 por acción (estructura actual, CLP mil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Análisis del equipo</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análisis del equipo.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UDM)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 (Figura A19.1)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A19.1: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del DCF coincide con el cálculo de la WACC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2.449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2.449,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análisis del equipo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 Las figuras cubren la transmisión del shock (Figura A20.1), el petróleo (Figura A20.2), las tasas soberanas (Figura A20.3), los spreads (Figura A20.4), el crecimiento e inflación mundial (Figura A20.5) y Chile (Figura A20.6).</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Rf del modelo: 4,98%</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A20.1: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5419725"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419725" cy="1352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29–31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A20.2: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21907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190750" cy="15430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A20.3: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21907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190750" cy="15430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A20.4: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219075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190750" cy="13906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A20.3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A20.5: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219075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190750" cy="13906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A20.6: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2190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19075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proyectado en el IPoM sube a 3,9% (4,3% a 12 meses a junio),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−12,5%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proyectado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+2,5% del valor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2.077 a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proyectado (IPoM jun-26); 4,3% a 12 meses a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2d280e67819cba6f6f7e10fe890394220adf824c.png"/><Relationship Id="rId11" Type="http://schemas.openxmlformats.org/officeDocument/2006/relationships/image" Target="media/90db9864c7b88017c205df9cd8c8bdecf6c09ed7.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a4e812a20b8d0a04c6f433e62e26cb83cb448be1.png"/><Relationship Id="rId15" Type="http://schemas.openxmlformats.org/officeDocument/2006/relationships/image" Target="media/610ae79d2df94a83425641f349efbdff06539d5b.png"/><Relationship Id="rId16" Type="http://schemas.openxmlformats.org/officeDocument/2006/relationships/image" Target="media/c6f4df8ea8a0206b9436faf2a460211fbeebf9c7.png"/><Relationship Id="rId17" Type="http://schemas.openxmlformats.org/officeDocument/2006/relationships/image" Target="media/ed9cadc884ad89007c3b2fa3f8ef1bdf4f06a993.png"/><Relationship Id="rId18" Type="http://schemas.openxmlformats.org/officeDocument/2006/relationships/image" Target="media/f4d3967792585fdbdfd5500d140b57cf27c616b6.png"/><Relationship Id="rId19" Type="http://schemas.openxmlformats.org/officeDocument/2006/relationships/image" Target="media/4bc2b50fc361b46958993af72b6fed0f46eec7a4.png"/><Relationship Id="rId20" Type="http://schemas.openxmlformats.org/officeDocument/2006/relationships/image" Target="media/85905f3480284006c687d1127adc6063810694a6.png"/><Relationship Id="rId21" Type="http://schemas.openxmlformats.org/officeDocument/2006/relationships/image" Target="media/3ffdba50826c0f47161d8972132ca5b20b0dbd4e.png"/><Relationship Id="rId22" Type="http://schemas.openxmlformats.org/officeDocument/2006/relationships/image" Target="media/7d8204fda84a881810f270fea79de3fb869b95ea.png"/><Relationship Id="rId23" Type="http://schemas.openxmlformats.org/officeDocument/2006/relationships/image" Target="media/1c1b905e7784077b546c946da99ba143a175872b.png"/><Relationship Id="rId24" Type="http://schemas.openxmlformats.org/officeDocument/2006/relationships/image" Target="media/78fd8a3b95d09da84d6f02bcf7058100a332498a.png"/><Relationship Id="rId25" Type="http://schemas.openxmlformats.org/officeDocument/2006/relationships/image" Target="media/1d9a00e71859a315af64a6732f0ba93bf8e1e282.png"/><Relationship Id="rId26" Type="http://schemas.openxmlformats.org/officeDocument/2006/relationships/image" Target="media/224578fbd709a5e79aa953f87ecd1a3c4a4ebe8b.png"/><Relationship Id="rId27" Type="http://schemas.openxmlformats.org/officeDocument/2006/relationships/image" Target="media/4f4c3b799e111b35c14611db94b252208b570328.png"/><Relationship Id="rId28" Type="http://schemas.openxmlformats.org/officeDocument/2006/relationships/image" Target="media/0904a008ba70727b7ec8bd44244ddcf642b99172.png"/><Relationship Id="rId29" Type="http://schemas.openxmlformats.org/officeDocument/2006/relationships/image" Target="media/21920877934c9931d8267664993f222a8428bd47.png"/><Relationship Id="rId30" Type="http://schemas.openxmlformats.org/officeDocument/2006/relationships/image" Target="media/8e0c26777730e1aac65fea69001a2d8a7c22b295.png"/><Relationship Id="rId31" Type="http://schemas.openxmlformats.org/officeDocument/2006/relationships/image" Target="media/51f7045a4395f449204464f7e2420338688d8a6a.png"/><Relationship Id="rId32" Type="http://schemas.openxmlformats.org/officeDocument/2006/relationships/image" Target="media/01201af4f324a852c0dc715f45627993c50d2d7b.png"/><Relationship Id="rId33" Type="http://schemas.openxmlformats.org/officeDocument/2006/relationships/image" Target="media/4be407fa4bc5e1b7c90dd855d13e6eb7add103a9.png"/><Relationship Id="rId34" Type="http://schemas.openxmlformats.org/officeDocument/2006/relationships/image" Target="media/48c761d5675c07161b48f3504273a2fef78823e1.png"/><Relationship Id="rId35" Type="http://schemas.openxmlformats.org/officeDocument/2006/relationships/image" Target="media/c186a4abce57fb872cd303c60ab1117ebc25455f.png"/><Relationship Id="rId36" Type="http://schemas.openxmlformats.org/officeDocument/2006/relationships/image" Target="media/640091c601831c94757c9beaa38556bcaceab19a.png"/><Relationship Id="rId37" Type="http://schemas.openxmlformats.org/officeDocument/2006/relationships/image" Target="media/2393ddd953397b7c61f612eebcf594f85fb6039c.png"/><Relationship Id="rId38" Type="http://schemas.openxmlformats.org/officeDocument/2006/relationships/image" Target="media/0c15b5a79e1bc6be757d6fe508db25c49a027afb.png"/><Relationship Id="rId39" Type="http://schemas.openxmlformats.org/officeDocument/2006/relationships/image" Target="media/43517fffa31771e8cecb05ca294ce076102793c1.png"/><Relationship Id="rId40" Type="http://schemas.openxmlformats.org/officeDocument/2006/relationships/image" Target="media/734a0a402b235552ada8950b2e87bb7d73ba51a8.png"/><Relationship Id="rId41" Type="http://schemas.openxmlformats.org/officeDocument/2006/relationships/image" Target="media/b57f84c46796a6229bd3c4480bd0b64b7544c648.png"/><Relationship Id="rId42" Type="http://schemas.openxmlformats.org/officeDocument/2006/relationships/image" Target="media/4609d9854ebb5b18f53a96249b39f91c7e2c04ad.png"/><Relationship Id="rId43" Type="http://schemas.openxmlformats.org/officeDocument/2006/relationships/image" Target="media/3b142e586c3e5210e292c0bd5ee719159683478e.png"/><Relationship Id="rId44" Type="http://schemas.openxmlformats.org/officeDocument/2006/relationships/image" Target="media/438682b6a2423995622f6a04ae6a9ebde6b1b73c.png"/><Relationship Id="rId45" Type="http://schemas.openxmlformats.org/officeDocument/2006/relationships/image" Target="media/68d45e370e4ab8a3c4bafdcf440cb34d293a9255.png"/><Relationship Id="rId46" Type="http://schemas.openxmlformats.org/officeDocument/2006/relationships/image" Target="media/ff2104c08e4ce6fa65fd948e42737135974bf6c7.png"/><Relationship Id="rId47" Type="http://schemas.openxmlformats.org/officeDocument/2006/relationships/image" Target="media/3fe8812a3136aa29736494e44ab849dc7868369a.png"/><Relationship Id="rId48" Type="http://schemas.openxmlformats.org/officeDocument/2006/relationships/image" Target="media/a1d8382ea339674a86ad98c542df97d034942bd7.png"/><Relationship Id="rId49" Type="http://schemas.openxmlformats.org/officeDocument/2006/relationships/image" Target="media/dbaedb451f19eb2ab39541b003ff01e6177ade9c.png"/><Relationship Id="rId50" Type="http://schemas.openxmlformats.org/officeDocument/2006/relationships/image" Target="media/b6d2ae5f89549048d7c9582bcdc25f29ceb9fdcd.png"/><Relationship Id="rId51" Type="http://schemas.openxmlformats.org/officeDocument/2006/relationships/image" Target="media/167c415de4f58364ea21a1bf111a48492f86fbc6.png"/><Relationship Id="rId52" Type="http://schemas.openxmlformats.org/officeDocument/2006/relationships/image" Target="media/d8a9ef8986cb6684d5666023944591edcf15a73a.png"/><Relationship Id="rId53" Type="http://schemas.openxmlformats.org/officeDocument/2006/relationships/image" Target="media/b37f9670dd9b87d723848d2dd6de478ef16272e2.png"/><Relationship Id="rId54" Type="http://schemas.openxmlformats.org/officeDocument/2006/relationships/image" Target="media/0ce4912c74834c9bb007089b7e34b55388fb9a44.png"/><Relationship Id="rId55" Type="http://schemas.openxmlformats.org/officeDocument/2006/relationships/image" Target="media/339b3b3fea9fdc23356260d546ff3bd5cd9a17b1.png"/><Relationship Id="rId56" Type="http://schemas.openxmlformats.org/officeDocument/2006/relationships/image" Target="media/53969dddf59bc1c8f16c396151f494cd3593db61.png"/><Relationship Id="rId57" Type="http://schemas.openxmlformats.org/officeDocument/2006/relationships/image" Target="media/30cd18c8e68475a6e62bd49f65e7c79a20aa9d06.png"/><Relationship Id="rId58" Type="http://schemas.openxmlformats.org/officeDocument/2006/relationships/image" Target="media/71234321f10eba3adcbbd976d76091adc5da5213.png"/><Relationship Id="rId59" Type="http://schemas.openxmlformats.org/officeDocument/2006/relationships/image" Target="media/ee3ce46107e934bd3d11829fefbef3a94a67d56d.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2026-10-19T23:59:41.203Z</dcterms:created>
  <dcterms:modified xsi:type="dcterms:W3CDTF">2026-10-19T23:59:41.203Z</dcterms:modified>
</cp:coreProperties>
</file>

<file path=docProps/custom.xml><?xml version="1.0" encoding="utf-8"?>
<Properties xmlns="http://schemas.openxmlformats.org/officeDocument/2006/custom-properties" xmlns:vt="http://schemas.openxmlformats.org/officeDocument/2006/docPropsVTypes"/>
</file>