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shopping-center operator in the Andean region: 37 centers and 2.36 million m² of GLA in Chile, Peru and Colombia. 81.4% of its revenue is rent and 93% of that is fixed and UF-indexed in Chile; the last-twelve-months (LTM) EBITDA margin is 80.5%. It is an excellent business, but at CLP 3,555 (30-Sep-26) the market values its cash flows with a premium of only ~200 bp over the real sovereign rate. Weighting a DCF (CLP 1,859) at 80% and peer multiples (CLP 2,951) at 20%, the target price is CLP 2,077 (−41.6% versus the price) and we recommend SELL. Our disagreement with the market is not about cash flows but about the discount rate: the price requires a nominal CLP WACC of 7.60% (4.5% real, in UF), 281 bp below our nominal WACC of 10.41% (7.2% real), and a real cap rate (LTM EBITDA over enterprise value) of 6.0% against the 10.1% implied by our cash flows. Growth does not rescue the price: the real after-tax return on the cost of a new m² (RONIC) is 5.3%, below the real WACC of 7.2%. Neither the bull case, in which everything goes right (CLP 2,915), nor the appraisers' rate (CLP 2,734) reaches the share price. What would break the thesis is a further compression of long-term rates or a structural premium for Tier A assets; a rise in rates, by contrast, reinforces it.</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8382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38200"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remains the same as at inception: leasing m². Rent accounts for 81.4% of last-twelve-months (LTM) revenue, with the remainder coming from parking, commercial services and advertising. Because 93% of that rent is fixed and, in Chile, indexed to the UF, revenue is highly predictable and grows in real terms. In Chile, same-store rent (SSR, nominal) rose 6.5% LTM versus CPI of 4.3% over 12 months to June (1Q23–2Q26: average SSR of 6.9% versus inflation of 4.8%), without straining tenants: consolidated occupancy cost (rent over tenant sales) is only 9.9%, nearly unchanged from a year earlier (9.7%).</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renewed tenant mix.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(supermarkets, home improvement, public services, healthcare), which drive frequent visits, and another 21.5% to specialty retail. No single tenant dominates revenue: the top five tenants account for 18% and related parties for 15.7%. A lean cost structure adds to this: cost of sales is 6.2% of revenue and administrative expenses 13.9%, leaving an LTM EBITDA margin of 80.5%.</w:t>
      </w:r>
    </w:p>
    <w:tbl>
      <w:tblPr>
        <w:tblpPr w:leftFromText="0" w:rightFromText="0" w:topFromText="0" w:bottomFromText="0" w:tblpX="7956" w:tblpY="2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028825"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28825" cy="15335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concentrated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increase the weight of Tier A assets. It is an excellent asset; the next question is how defensible its position is against competitors.</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There is no total industry GLA: we use that of each country's main operators, and on that basis Mallplaza, Cenco Malls (formerly Cencosud Shopping) and Parque Arauco (the trio) together manage 3.4 million m² in Chile (3.29 million excluding offices).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index reaches at least 2,126 points, typical of a highly concentrated market, with Mallplaza as leader (33%) followed by Cenco Malls (29%) and Parque Arauco (14%). In Peru and Colombia, by contrast, the trio accounts for only 37% and 13% of GLA, respectively, leadership is held by an outside operator with 29% and 9%, respectively, and Mallplaza ranks second in both markets. In Peru that leader is Real Plaza (InRetail), with 888,000 m² versus Mallplaza's 618,093 m², yet Mallplaza generates more EBITDA per m² (S/ 159 versus Real Plaza's S/ 148 in 2Q26). Fragmentation is greatest in Colombia, where most shopping centers are strata-titled (multi-owner), which forces professional operators to grow by acquiring single-owner assets, as Mallplaza will do with Gran Plaza (179,667 m², announced acquisition).</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BELOW CONSUMPTION, WITH PRESSURE CONCENTRATED IN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5.1% of the GLA of the main operators in Chile. That GLA (≈4.3 million m²) results from dividing the trio's GLA excluding offices (3.29 million) by its 76% share (assumptions in Appendix 7); measuring supply against the trio's own GLA (6.7%) would overstate the pressure, because it leaves out the other operators. The figure excludes offices and multifamily, which do not depend on consumption, as well as acquisitions, which merely change ownership (detail in Appendix 3). Over the same period, the Central Bank of Chile projects cumulative real private consumption growth of 6.4% (Figure 3), so new supply is advancing below expected demand. The timing is uneven: 2026 adds almost no space (+0.2%), and pressure is concentrated in 2027, when supply (+2.2%) barely exceeds consumption (+2.1%); in 2028 it falls below it again (+2.6% versus +2.7%). We only measure the trio's supply, whose pipeline is public: if other operators open additional m², the pressure would be greater.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Malls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nominal local-currency terms.</w:t>
      </w:r>
    </w:p>
    <w:tbl>
      <w:tblPr>
        <w:tblpPr w:leftFromText="0" w:rightFromText="0" w:topFromText="0" w:bottomFromText="0" w:tblpX="7956" w:tblpY="-6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of 71% to 90% across the three operators.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Rivalry (4) is played out not on price but on experience and assets. There are no signs of a price war: in 2Q26 all three operators raised nominal same-store rents in Chile (Mallplaza +5.4%, Parque Arauco +3.8% and Cenco Malls +0.8%, the latter hit by lower sales-linked variable rent), with 96-99% occupancy in Chile (three operators, 2Q26) that leaves no vacant space to fill with discounts (Appendix 6, table B). Mallplaza devotes more than half of its GLA to non-traditional, experience and entertainment formats, Cenco Malls opened QINTO (30,000 m² of food and dining) and Parque Arauco is adding dining floors at Kennedy, and competition to acquire assets is intensifying (Minka and Plaza Central changed hands; Parque Arauco announced Quilín and Chicureo). We do not assign the maximum score because the trio's shares in Chile have remained stable since 2Q22 (Appendix 5) and margins show no erosion.</w:t>
      </w:r>
    </w:p>
    <w:tbl>
      <w:tblPr>
        <w:tblpPr w:leftFromText="0" w:rightFromText="0" w:topFromText="0" w:bottomFromText="0" w:tblpX="7956" w:tblpY="19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Malls,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the three operators' occupancy in Chile reaches 96-99% (2Q26),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HAS THE MOST PRODUCTIVE M² OF THE TRIO, BUT ONLY NARROWLY</w:t>
      </w:r>
    </w:p>
    <w:tbl>
      <w:tblPr>
        <w:tblpPr w:leftFromText="0" w:rightFromText="0" w:topFromText="0" w:bottomFromText="0" w:tblpX="7956" w:tblpY="88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has the highest EBITDA per m² of the trio: CLP 59,451 in 2Q26 (quarterly, not annualized), versus 58,384 at Cenco Malls and 55,363 at Parque Arauco, adjusted for its multifamily NOI (55,738 unadjusted; Figure 5). The advantage is 1.8% over Cenco Malls and 7.4% over Parque Arauco. It stems from high-traffic urban locations, which in Chile received 52.7 million visits in the quarter versus 32.5 million at Cenco Malls, and from monthly sales per m² 5.8% higher than a year earlier. The gap with Cenco Malls is narrow and is partly explained by Cenco Malls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Malls (8.7 years) and Parque Arauco (5.0 years) with a useful balance: it secures enough revenue to weather the supply pressure of 2027 while leaving 15.1% of GLA expiring within two years to reset rents if demand allows.</w:t>
      </w:r>
    </w:p>
    <w:tbl>
      <w:tblPr>
        <w:tblpPr w:leftFromText="0" w:rightFromText="0" w:topFromText="0" w:bottomFromText="0" w:tblpX="7956" w:tblpY="82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catch up with consumption in 2027, the operators with the most productive assets and the most stable leases will gain share and profitability. Mallplaza leads in scale in Chile and, though only narrowly, in productivity per m², and is the only one of the trio with growing real sales (2Q26): its position is defensible, but its advantage is small.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Beyond the business, PLAZA's ESG approach cuts across its decisions and aims, besides contributing to sustainable development, to access financial benefits both of its own and from external sources. Bloomberg rates the company at 3.39 points, below the global industry average (5–6 points) and below its direct competitors in Chile (Figure 7); this is partly offset by its local “green” profile,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in operations, the energy management system (EnMS) certified under ISO 50001 improves energy performance and lowers operating costs. Among local external benefits: Peru recognizes the company with 2 of 4 stars in “Huella de Carbono Perú”, which eases permits and licenses; and Colombia, under Law 2099 of 2021, grants income-tax deductions for environmental investments. The company also holds certifications and belongs to indices such as DJSI MILA (Figure 7).</w:t>
      </w:r>
      <w:r>
        <w:rPr>
          <w:rFonts w:ascii="Arial" w:cs="Arial" w:eastAsia="Arial" w:hAnsi="Arial"/>
          <w:i w:val="false"/>
          <w:iCs w:val="false"/>
          <w:color w:val="1A1A1A"/>
          <w:sz w:val="16"/>
          <w:szCs w:val="16"/>
        </w:rPr>
        <w:t xml:space="preserve"> Figure 12 estimates, as a scenario and not as data, that operating ESG savings add about CLP 2 per share and that a 25 bp cut in the cost of debt and equity would add CLP 72 per share, against the CLP 1,478 gap between the target price and the share price. The ESG effect on value is therefore marginal; what matters for the thesis is corporate governance (see below).</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26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0572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572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efficient, sustainable and circular operational management based on continuous improvement in environmental performance, which translates into lower operating costs. It has three focus areas: energy and water efficiency, carbon footprint, and waste management. Its main objective is carbon neutrality: Net Zero in direct and indirect emissions by 2035 (65.6% progress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reduce the energy intensity of common-area expenses by 22% by 2035 (35.5% progress in 2025; Figure 8) and reach 100% renewable electricity in 2026 (89.3% progress). In 2025, annual consumption was 0.16 MWh/m² of GLA, of which 0.14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reduce direct water consumption by 30% by 2025, achieved at 100.9%, helped by its LEED and EDGE certifications; in 2025, average annual consumption was 0.77 m³/m² of GLA and 0.66 m³/m²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eliminate 100% of HCFC use by 2030 (14.9% progress in 2025), key to GHG emissions management, an area in which Bloomberg recognizes PLAZA as a global industry leader (a component separate from the total ESG score).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recover 60% of the waste generated in 2025 (46.2% recovered, 77% of the target; Figure 9 and Appendix 8, Figure A8.4) and divert 75% of solid waste from landfills by 2027; it reports having eliminated 97% of single-use plastics.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it adopts the TCFD recommendations to integrate physical and transition risks, with environmental due diligence on acquisitions, under a compliance program aligned with ISO 14001 and monitored by the sustainability committee.</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 waste: 46.2% recovered over the 60% target (team calculation).</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social dimension is built on a model of long-term ethical relationships (Appendix 8, Figure A8.3) and shared value creation that places stakeholders at the center, aligned with ISO 45001 and ILO guidelines; in 2025 the risk detection and response program of the human rights policy was added. PLAZA engages its stakeholders through community dialogues, materiality assessments and organizational culture surveys (Appendix 8, section 5), and has an integrity hotline for social incidents; CADEM ranked it 31st of 385 “Marcas Ciudadanas” (“Citizen Brands”) and first in the “Shopping Centers” category (2026). Employees receive training and programs for those nearing retirement, and suppliers are evaluated with sustainability criteria (55.3% of regional and 38.4% of foreign suppliers). With tenants it maintains a relationship model centered on value proposition and experience; their satisfaction, measured by NPS, rose to 13 points in 2025 (Figure 10). Each center has emergency manuals and runs drills (52 in 2025), and PLAZA implemented ISO/IEC 27001 for information security.</w:t>
      </w:r>
    </w:p>
    <w:tbl>
      <w:tblPr>
        <w:tblpPr w:leftFromText="0" w:rightFromText="0" w:topFromText="0" w:bottomFromText="0" w:tblpX="7956" w:tblpY="-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 diversity, women are 53.2% of the workforce and hold 42% of management positions (Figure 10), but a gender pay gap of 28% on average regionally persists and the Board has only one woman among 9 directors. The target for 2028 is for 60% of the properties to be certified as inclusive spaces, and PLAZA obtained the “Sello Mayor” (“Senior Seal”) at one of its centers, the first in Chile, which certifies physical and operational adaptation for older adults. As it expands, building to those parameters avoids future retrofitting costs and allows the transition of existing centers to begin.</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4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and aligned with the CMF's NCG 461, with the aim of ensuring transparency, risk control and monitoring of the strategy and of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the Board has 9 members and only one is independent (below 50%), which creates agency risk (Figure 11 and Appendix 8, Figure A8.2) and is the only unfavorable factor in the ESG risk matrix (Appendix 8, Figure A8.5). It defines objectives, strategy and policies; the directors' committee (3 members) reviews the financial statements and mitigates agency risks, and both oversee the risk management led by the executive committee and the CEO. In the second half of 2025, CEO Fernando de Peña Iver resigned effective at year-end, and Pablo Pulido Sierra took over in 2026.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33.3% of executives' variable pay depends on ESG KPIs and 61% on non-financial metrics (Figure 11), which aligns incentives with ESG goals.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control is concentrated: Falabella S.A., through Desarrollos Inmobiliarios SpA, holds 53.1% of the shares (Appendix 8, Figure A8.1); minority shareholders holding 1% may propose director candidates, and the shareholders' meeting elects the Board and external auditors and approves the dividend policy.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integrity code and the crime prevention model guide conduct; PLAZA operates the Autocompliance platform (meetings with public officials, gifts and invitations) and a confidential integrity hotline. In 2025 it reported regional non-compliance cases and complaints related to workers and customers, but none concerning corruption or conduct that undermines market development (Appendix 8, section 3). The directors' committee oversees an internal audit that reports to it monthly and appoints the external auditors and credit rating agencies. </w:t>
      </w:r>
      <w:r>
        <w:rPr>
          <w:rFonts w:ascii="Arial" w:cs="Arial" w:eastAsia="Arial" w:hAnsi="Arial"/>
          <w:b/>
          <w:bCs/>
          <w:i w:val="false"/>
          <w:iCs w:val="false"/>
          <w:color w:val="14284B"/>
          <w:sz w:val="16"/>
          <w:szCs w:val="16"/>
        </w:rPr>
        <w:t xml:space="preserve">Relevance for the thesis: </w:t>
      </w:r>
      <w:r>
        <w:rPr>
          <w:rFonts w:ascii="Arial" w:cs="Arial" w:eastAsia="Arial" w:hAnsi="Arial"/>
          <w:i w:val="false"/>
          <w:iCs w:val="false"/>
          <w:color w:val="1A1A1A"/>
          <w:sz w:val="16"/>
          <w:szCs w:val="16"/>
        </w:rPr>
        <w:t xml:space="preserve">governance matters, not ESG savings. With Falabella as controller, related companies contributing 15.7% of revenue and a board with a single independent director, the question is whether expansion, whose return is below its cost of capital, benefits the controller more than minority shareholders (see Valuation and Risks, RR1).</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ROE on distributable profit of 8–10% (not the shareholder's return); reported ROE follows the appraisal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 Malls, lifted attributable net income to CLP 1,431bn (2.2x revenue) and reported ROE to 37.5% (Figure 13). About two-thirds of the 29% rise in the value of Chilean properties came from a lower real appraisal discount rate (from 6.62% to 5.64%, Note 11), not from higher NOI (Appendix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with the same adjustment we apply to peers it would be 10.0%, the highest of the three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0.097x and 1.77x accounting leverage. It is not the shareholder's return: the denominator is equity at appraised value, and each revaluation raises its book value without generating cash flow, because it is a non-cash fair-value change that does not enter FFO or dividends. We therefore forecast normalized ROE of 8–9%, rising only with leverage.</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(Appendix 11C). Ex-Peru, revenue grew 10.7% in 2025 and 7.1% in 1H26.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consolidated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Consolidated profit (attributable: CLP 1,431bn). After minorities' share of FFO (CLP 2.8bn), attributable FFO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the 7.4% nominal growth of 1H26 falls to ~3.0% real (Figure 15): Chile 2.8% (UF +3.1%), Peru 4.5% (occupancy 93.8%) and Colombia ~1% net of the 7.5% COP appreciation and 6.1% inflation.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our reading, growth depends more on contracts than on sales: variable rent is 5.1% of 1H26 revenue and fell 1.1% even though tenant sales kept growing, because minimum rents are growing faster than sales. It is not a bond either: 15.1% of GLA expires within two years, tenant solvency matters and real growth converges on the appraisal midpoints (0.4–0.9% a year).</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further room looks limited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And Chile's margin gained 2.4pp on a higher recovery of common charges, presented net of cost (Note 2.20): real, but dependent on occupancy and tenant negotiations, so we do not extrapolate it.</w:t>
      </w:r>
    </w:p>
    <w:tbl>
      <w:tblPr>
        <w:tblpPr w:leftFromText="0" w:rightFromText="0" w:topFromText="0" w:bottomFromText="0" w:tblpX="7956" w:tblpY="8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(cost of sales plus administration) were 20.1% of revenue in 2025 and include D&amp;A (0.55%): 20.1% − 0.55% = 19.5% = 1 − EBITDA margin (Appendix 11). If they were fixed, a 1% fall in revenue would cut EBITDA by 1.24% (1.1% if half were variable). In 1H26 EBITDA grew 7.4%, in line with revenue, and margin held at 79.7%. Administrative expense rose 18.1% on payroll (+18.9%: CEO transition and a full year of Peru), bad debts normalizing from a 2025 base flattered by recoveries, and a one-off Colombian wealth tax of CLP 1.7bn. Excluding the last two, 1H26 margin would be 80.4%.</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before debt and 1.8x after repaying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Cash tax was only 15% of operating profit, sheltered by tax goodwill and loss carry-forwards (Note 13), and will rise toward the 27% statutory rate. After capex and net interest (CLP 57bn), free cash flow before debt was CLP 280bn, covering dividends 2.6x (Figure 16); 1.8x after repaying net debt (Appendix 10D).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CLP 71.9bn (+38.6%) rise in 1H26 operating cash flow comes 78% from higher collections (partly December balances: receivable days from 66 to 50) and 15% from lower taxes paid; we do not extrapolate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and the covenant (net debt/equity ≤ 2.0x; 0.26x at June) does not constrain it: retained cash was CLP 171.6bn in 2025. In the base case, FFO rises from CLP 428.5bn in 2026E to 512.6bn in 2031E and ordinary dividends from CLP 147.7bn to 176.5bn; the remaining cash, together with new debt, funds capex and the additional distributions (Appendix 13).</w:t>
      </w:r>
    </w:p>
    <w:tbl>
      <w:tblPr>
        <w:tblpPr w:leftFromText="0" w:rightFromText="0" w:topFromText="0" w:bottomFromText="0" w:tblpX="7956" w:tblpY="59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1.7–2.6x (1H26–2025) even as capex rises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the USD 579m of remaining dated pipeline over 2026–2028 (including USD 134m of other projects in Chile) and then keeps adding about 27,000 m² a year, the 2022–2025 organic pace: total capex settles near 16% of revenue, 5.5% maintenance and ~11% incremental.</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support Feller Rate's upgrade of the local rating to AAA (25 September 2026), but of the fall in net debt/EBITDA from 3.78x to 2.36x, 0.75x is perimeter (Peru consolidated one month in 2024; pro forma ≥ 3.0x), 0.39x EBITDA growth and only 0.28x lower debt (Appendix 11B).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at Jun-26 is 79% UF, 14% PEN and 7% COP (2Q26 release), matching revenue currencies; 95% is long term, with a 6.6-year duration. The outstanding UF bonds carry a 3.36% real coupon (3.48% effective); with UF indexation the all-in nominal CLP cost was about 7% in 2025. Maturities cluster in 2029, 2031 and 2033 (Figure 18); refinancing series S (1.32% effective) at the latest issue's 4.33% real effective rate (which includes placement costs and discount and is not the coupon; sensitivity only) would add about CLP 4.9bn a year.</w:t>
      </w:r>
    </w:p>
    <w:tbl>
      <w:tblPr>
        <w:tblpPr w:leftFromText="0" w:rightFromText="0" w:topFromText="0" w:bottomFromText="0" w:tblpX="7956" w:tblpY="3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 Malls, and net debt/EBITDA of 2.49x versus 5.68x and 2.11x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 Malls (2.1x) and Parque Arauco (5.7x), and each extra turn adds 25bp to the real cost of debt. Cash beyond the 40% payout and the capex plan is returned through buybacks or special dividends, CLP 1.7tn cumulatively over 2H26E–2031E (Appendix 13). At 3.5x the new AAA rating would likely come under pressure.</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tbl>
      <w:tblPr>
        <w:tblpPr w:leftFromText="0" w:rightFromText="0" w:topFromText="0" w:bottomFromText="0" w:tblpX="7956" w:tblpY="145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81% of gross debt at that date);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nominal CLP in 2026E and 5.0% in 2031E (2026E–2031E CAGR 6.9%), as real same-store growth converges to the appraisal midpoints, 170,200 m² of dated pipeline matures (including 46,500 m² of other projects in Chile opening in 2028) and, from 2029E, about 27,000 m² a year opens at the historical pace (Figure 19); 2026E revenue sits 0.3% above the BEst consensus of 13 analysts (Appendix 11C). EBITDA margin stays at 79.7–79.8%, below the 2025 peak. Cash tax (Chile's rate) normalizes from 16.8% to 27% by 2030E and financial costs rise with leverage, so FFO margin slides from 60.9% to 52.2%. Working capital is held at 15.6% of revenue, the December 2025 level (Appendix 9). New GLA yields 7.3% real before tax on cost and 5.3% real after tax (RONIC),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with the same adjustment for all three, Mallplaza earns the highest normalized ROE of its local peers (10.0% against 7.8% at Parque Arauco and 8.0% at Cenco Malls) with an LTV of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existing capital barely earns its cost. 2025 ROIC, with NOPAT at 27% over capital at appraised value, was 7.3%, comparable with our 7.2% real WACC (not the nominal one) because it excludes revaluation (Appendix 11). New capital, by contrast, earns less than its cost (real RONIC of 5.3%). At the current price, 2026E FFO of CLP 428.5bn yields 5.5% nominal on market value (18x FFO) and distributable profit 4.9%: the market is paying for these cash flows as if they were almost risk-free. That discount-rate gap is what Valuation quantifies.</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incremental capex for continuous expansion keeps total capex near CLP 150bn a year; net debt/EBITDA rises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of 1H26 (no breakdown by type). Maintenance + IT = 5.5% of revenue; incremental = pipeline under way + continuous expansion. 2024A: one month of Peru EBITDA. Source: Plaza S.A. financial statements (CMF); 2Q26 results release; Team analysis (Appendix 15).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 PRICE NONE OF OUR METHODS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median multiples fall short too (Figure 20). We give the DCF an 80% weight because Mallplaza's value comes from contractual cash flows: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and, among individual multiples, Parque Arauco's, which we do not use alone (below), reach it. Even the Chilean median multiple, the most favourable case for the stock, sits 7% below the price. In 10,000 Monte Carlo simulations (Appendix 18), the target price stays below CLP 3,555 in 100% of cases: median CLP 2,047, P5–P95 CLP 1,799–2,354.</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DISCOUNT RATE</w:t>
      </w:r>
    </w:p>
    <w:tbl>
      <w:tblPr>
        <w:tblpPr w:leftFromText="0" w:rightFromText="0" w:topFromText="0" w:bottomFromText="0" w:tblpX="7956" w:tblpY="38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None of our methods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Intraday 52-week range (01-10-25 to 30-09-26; low 10-10-25, high 27-04-26).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unlevered median of 0.94, ERP 4.14% and a revenue-weighted CRP of 1.41%) and a nominal after-tax Kd of 5.11%, with a real Kd equal to the 3.6% real coupon of the latest UF issue (base case; Appendix 19). We use the coupon because it is the rate at which the company financed itself in UF in its latest placement and it is the model input; at the effective rate (4.33%) the target price falls to CLP 2,042, which reinforces the recommendation.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(1.09 in 2H26E, 1.14 at the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implied rate of the asset (the firm): the one that equates FCFF and terminal value to the enterprise value the market pays at CLP 3,555 (EV of CLP 9.12 trillion). It is 7.60% nominal (4.5% real in UF), 281 bp below the nominal WACC, and only ~87 real bp above the 3.6% real coupon of its debt (Figure 21).</w:t>
      </w:r>
    </w:p>
    <w:p>
      <w:pPr>
        <w:keepNext w:val="false"/>
        <w:spacing w:after="30" w:before="60"/>
      </w:pPr>
      <w:r>
        <w:rPr>
          <w:rFonts w:ascii="Arial" w:cs="Arial" w:eastAsia="Arial" w:hAnsi="Arial"/>
          <w:b/>
          <w:bCs/>
          <w:color w:val="14284B"/>
          <w:sz w:val="15"/>
          <w:szCs w:val="15"/>
        </w:rPr>
        <w:t xml:space="preserve">Asset (firm) and new-project IRR vs WACC: nominal CLP and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Buying at the price of</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Gap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bp</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target: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bp</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bp</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New project: 1 m² (cohort)</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bp</w:t>
            </w:r>
          </w:p>
        </w:tc>
      </w:tr>
    </w:tbl>
    <w:p>
      <w:pPr>
        <w:keepNext w:val="false"/>
        <w:spacing w:after="60" w:before="20"/>
      </w:pPr>
      <w:r>
        <w:rPr>
          <w:rFonts w:ascii="Arial" w:cs="Arial" w:eastAsia="Arial" w:hAnsi="Arial"/>
          <w:color w:val="5F5F5F"/>
          <w:sz w:val="12"/>
          <w:szCs w:val="12"/>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27 (7.60%) shifts the whole WACC curve and the single-rate IRR is 7.61%: two readings of the same idea. Source: Team analysis.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earns almost the same as its debt (real rates,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(30-06-26); Mallplaza;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BEst consensus of 13 analysts expects 12-month EBITDA only ~3% above ours: the disagreement with the market is not in the cash flows.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19). Working capital (15.6% of revenue) requires CLP 7.3–9.9 bn per year and, if it were zero, the target would rise only 1.3% (Figure 22: waterfall of discretionary team assumptions, distinct from the bull scenario; Appendix 16).</w:t>
      </w:r>
    </w:p>
    <w:tbl>
      <w:tblPr>
        <w:tblpPr w:leftFromText="0" w:rightFromText="0" w:topFromText="0" w:bottomFromText="0" w:tblpX="7956" w:tblpY="5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discretionary team assumption in our favor the target reaches CLP 2,977, still 16%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assumption's effect alone. Target price = 80% DCF + 20% multiples.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22). And working capital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Price and sales. For a rental operator the price is rent per m², and tenants' sales reach revenue only through variable rent (5.7% of LTM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23).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keepNext/>
        <w:pBdr>
          <w:bottom w:val="single" w:color="E9004B" w:sz="8" w:space="1"/>
        </w:pBdr>
        <w:spacing w:after="50" w:before="110"/>
        <w:ind w:right="3766"/>
      </w:pPr>
      <w:r>
        <w:rPr>
          <w:rFonts w:ascii="Arial" w:cs="Arial" w:eastAsia="Arial" w:hAnsi="Arial"/>
          <w:b/>
          <w:bCs/>
          <w:color w:val="14284B"/>
          <w:sz w:val="16"/>
          <w:szCs w:val="16"/>
        </w:rPr>
        <w:t xml:space="preserve">WHY EXPAND IF IT DOES NOT CREATE VALUE?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If growth earns less than the cost of capital, what pushes management to keep going? We put forward four hypotheses. First, accounting versus economics: UF-denominated debt (79% of the total) costs ~3.6% real, below what a new asset yields, so every debt-financed project improves FFO, EBITDA and profit even if it does not cover the return required on total capital. Second, revaluation: under IAS 40 appraisals use real discount rates of 5.5–6.4%, below the real WACC, and each new asset is appraised above its cost and generates accounting profit. Third, the controlling shareholder: if the group (Falabella) has anchor stores or other businesses in those malls, a new m² serves the group even if it earns little for Plaza, an agency conflict with minority shareholders. Fourth, compensation: if bonuses depend on GLA or EBITDA rather than ROIC, expanding is rational for management.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bl>
      <w:tblPr>
        <w:tblpPr w:leftFromText="0" w:rightFromText="0" w:topFromText="0" w:bottomFromText="0" w:tblpX="795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nominal g. Bottom: relative terminal value by RONIC. Source: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MAGNITUDE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24). That is why we weight the Chilean median 70% and the common-set median 30% (which includes IRSA; we exclude Fibra Danhos because of its FIBRA regime): 14.4x, which leads to CLP 2,951 per share. The weighting matters little: from 0% to 100% Chile, the target price only moves from CLP 1,917 to 2,146 (Appendix 17).</w:t>
      </w:r>
    </w:p>
    <w:tbl>
      <w:tblPr>
        <w:tblpPr w:leftFromText="0" w:rightFromText="0" w:topFromText="0" w:bottomFromText="0" w:tblpX="7956" w:tblpY="23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10-year UF (BCCh) and NTN-B 2035 (8.08%) at 30-06-26. Spread = cap rate (1 / EV/EBITDA) − real bond. IRSA omitted (IAS 29). Source: Bloomberg; BCCh;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Quality does not justify the premium either. Mallplaza trades 29% above Cenco Malls, yet its EBITDA per m² is only 1.8% higher (see Industry); only at Parque Arauco's multiple (18.4x), which runs 5.7x leverage, would it be worth more than its price. Every multiple, from NTM EV/EBITDA (CLP 2,914) to P/BV (CLP 3,171), sits below the price (Figure 25): they confirm the stock is expensive, and the DCF gives the magnitude. We exclude P/E (CLP 8,644), distorted by property revaluation. In prices: Chilean median CLP 3,294 (−7%), Cenco Malls CLP 2,621 and only Parque Arauco CLP 3,967. Defending CLP 3,555 with multiples requires assuming Mallplaza deserves the valuation of the most leveraged peer in the group.</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61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Implied value per peer multiple vs DCF and price (CLP per share)</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price = 80% DCF + 20% LTM EV/EBITDA. P/E excluded (includes revaluation). Source: Bloomberg (30-09-26);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26).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27); even with the appraisers' rate (5.55% real, 8.72% nominal), the DCF would be CLP 2,679.</w:t>
      </w:r>
    </w:p>
    <w:p>
      <w:pPr>
        <w:keepNext/>
        <w:pBdr>
          <w:bottom w:val="single" w:color="E9004B" w:sz="8" w:space="1"/>
        </w:pBdr>
        <w:spacing w:after="50" w:before="110"/>
        <w:ind w:right="3766"/>
      </w:pPr>
      <w:r>
        <w:rPr>
          <w:rFonts w:ascii="Arial" w:cs="Arial" w:eastAsia="Arial" w:hAnsi="Arial"/>
          <w:b/>
          <w:bCs/>
          <w:color w:val="14284B"/>
          <w:sz w:val="16"/>
          <w:szCs w:val="16"/>
        </w:rPr>
        <w:t xml:space="preserve">WHY THE MARKET PAYS CLP 3,555</w:t>
      </w:r>
    </w:p>
    <w:tbl>
      <w:tblPr>
        <w:tblpPr w:leftFromText="0" w:rightFromText="0" w:topFromText="0" w:bottomFromText="0" w:tblpX="7956" w:tblpY="17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 (real cap rate)</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LTM EBITDA / EV, comparable with real rates (UF rents). Gran Plaza: subsequent event, not in the model. Source: Mallplaza; Bloomberg; DF;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the last twelve months the stock went from a low of CLP 2,470 (10-Oct-25) to a high of CLP 4,700 (27-Apr-26), a ~90% rise in six and a half months that the business does not explain: EBITDA grew 5–10% a year. The push was external. The Chilean market rose 56% in 2025, with a change of government and expectations of lower taxes, and mall stocks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(5.22% on 8-Oct-26). It is a partial correction: at that price the stock trades 91% above the DCF, 33% above the value at the appraisers' rate (CLP 2,679) and at 1.61x book value. Figures attributed to analysts and milestone prices come from the team's documents (Figure 32).</w:t>
      </w:r>
    </w:p>
    <w:p>
      <w:pPr>
        <w:keepNext/>
        <w:pBdr>
          <w:bottom w:val="single" w:color="E9004B" w:sz="8" w:space="1"/>
        </w:pBdr>
        <w:spacing w:after="50" w:before="110"/>
        <w:ind w:right="3766"/>
      </w:pPr>
      <w:r>
        <w:rPr>
          <w:rFonts w:ascii="Arial" w:cs="Arial" w:eastAsia="Arial" w:hAnsi="Arial"/>
          <w:b/>
          <w:bCs/>
          <w:color w:val="14284B"/>
          <w:sz w:val="16"/>
          <w:szCs w:val="16"/>
        </w:rPr>
        <w:t xml:space="preserve">OUR VALUE VERSUS THE CONSENSUS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shows 14 sources with an average recommendation of 2.85 (Bloomberg scale: 5 = buy, 3 = hold, 1 = sell; 13 of the 14 sources carry a rating: (1×5 + 10×3 + 2×1)/13 = 2.85) and a 12-month target price of CLP 4,111, 98% above ours (our target is 49.5% below it); the lowest is Goldman Sachs (sell, CLP 3,377) and the range runs from 3,377 to 4,600. Four reasons explain the gap (Figure 34).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the 12 months to September 2026) and we do not know their assumptions, only their targets.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also isolates the value of debt.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how we get to CLP 2,077 (80% × 1,859 + 20% × 2,951): 10.8x EBITDA, a real cap rate of 9.3% (1 / EV/EBITDA) and 0.94x book value. Rolling the DCF forward to 30-Sep-26 would lift it to ~CLP 2,119, without changing the recommendation. The catalyst is the discount rate itself: with the nominal 10Y UST at 5.22% (8-Oct-26), long-term rates pressure cap rates, and each new appraisal moves them toward our value. What would break the thesis is the opposite: a further compression of cap rates on institutional demand for defensive assets, or a structural premium for Tier A assets (see Investment Risks, FR1). We will watch the Note 11 appraisal at each close, the spread on the company's UF bond versus its 3.6% real coupon (as a sensitivity, at the 4.33% real effective rate of the latest issue, nominal WACC would rise 12 bp and the target price would fall to CLP 2,042), the cut in corporate tax to 23% (+5.2% to the target price, not yet included) and the local AAA rating, which would probably come under pressure at 3.5x net debt/EBITDA.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281 bp lower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Terminal nominal WACC; all periods shift in parallel. Source: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the discount rate (FR1, high likelihood). A rise in long-term rates lowers value and reinforces the recommendation; what would break the SELL thesis is the opposite, a further compression of cap rates or a structural premium for Tier A assets. Even in the bull scenario, the target price does not reach the market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30 and 31).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quarterly margin, cuts DCF value to CLP 1,669 (−10.2%), and the historical floor of same-store rent growth takes it to CLP 1,783 (−4.1%) (Figure 29). All levers together, with WACC +100 bp, define the bear scenario (target price CLP 1,542, −56.6% against the share price).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annual EBITDA margin rose from 76.2% (2022) to 80.5% (2025) and Mallplaza's consolidated occupancy held between 95.1% and 96.6% in 4Q23–2Q26.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−4.1%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Long-term rates dominate value, in both directions. A rise lifts the WACC and the cost of refinancing debt and the pipeline, and is the more likely outcome: the 10Y UST moved from 4.98% (model Rf) to 5.22% on 8-Oct-26; the Fed hiked in September and the Central Bank of Chile reports rising local long-term rates. With nominal WACC +50 bp and +100 bp, the target price falls 6.7% and 12.5% (Figure 30), which reinforces the recommendation. What would break the thesis is the opposite: with WACC −100 bp it rises 16.6%, to CLP 2,421, and still sits 32% below the price.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 real-rate in UF, with 6.6 years of duration, 2.36x net debt/EBITDA and a local AAA rating,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12.2% (Figure 31). The risk is that weaker consumption prevents passing inflation through to rents: if only 70% of the cash flow were indexed, the effect of inflation would rise to 1.0%.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(PEN)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53.1% and leases space through Falabella, Sodimac and Tottus, which creates receivables with related parties. Fernando de Peña, Mallplaza's CEO for decades, has chaired Falabella since March 2026. Off-market contracts would directly affect rents and value. There is also a capital-allocation risk: expansion earns less than its cost (real RONIC of 5.3% against a real WACC of 7.2%), so continued growth benefits accounting profit and a controller with other businesses in those malls more than the minority shareholder (see Valuation).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Chile's A stable rating and Law 21,770 (Sep-25) shortens permitting. In Peru, the minimum-wage rise to S/ 1,300 and the doubling of Pensión 65 support consumption (Infobae, 28-Jul-26). Colombia contributes only ~11% of revenue. The model keeps 27%: the Chilean cut would add ~5.2%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by long nominal rate and the share of its rise that comes from inflation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INVESTMENT SUMMARY</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SELL · target price CLP 2,077 per share (base case), 41.6% below the CLP 3,555 close (30-Sep-26). Three theses on the same valuation assumptions: in the bear case everything that could go wrong goes wrong, in the base case everything happens as we project it and in the bull case everything works in our favor. None reaches the price.</w:t>
      </w:r>
    </w:p>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cap (CLP bn)</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52-week range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Expected dividend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 real WACC</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 / LTM EBITDA 2Q26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stock rose ~90% in six months with no change in the business, then gave back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Milestone prices taken from the team's documents. The line only joins milestones: it is not the daily series. Source: team documents;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RECOMMENDATION AND TARGET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recommend SELL on Mallplaza (MALLPLAZ CI) with a target price of CLP 2,077 per share, 41.6% below the 30-Sep-26 close (−39.6% total return with an expected dividend of CLP 69, 2.0%). The target price weights the DCF value 80% (CLP 1,859, at 30-Jun-26) and the peer LTM EV/EBITDA multiple value 20% (CLP 2,951; 14.4x), and sits below the 52-week low (CLP 2,470). Mallplaza is an excellent business (UF-indexed rents, 80% EBITDA margin, 95.6% consolidated occupancy in 2Q26, net debt/EBITDA of 2.36x and a local AAA rating); the disagreement is about price: the stock rose ~90% with no change in the business (Figure 32) and pays a nominal WACC of 7.60% (4.5% real), 281 bp below our 10.41%. In 10,000 Monte Carlo simulations (Appendix 18) the target price stays below CLP 3,555 in 100% of cases: median CLP 2,047, P5–P95 CLP 1,799–2,354.</w:t>
      </w:r>
    </w:p>
    <w:p>
      <w:pPr>
        <w:keepNext/>
        <w:pBdr>
          <w:bottom w:val="single" w:color="E9004B" w:sz="8" w:space="1"/>
        </w:pBdr>
        <w:spacing w:after="50" w:before="110"/>
        <w:ind w:right="3766"/>
      </w:pPr>
      <w:r>
        <w:rPr>
          <w:rFonts w:ascii="Arial" w:cs="Arial" w:eastAsia="Arial" w:hAnsi="Arial"/>
          <w:b/>
          <w:bCs/>
          <w:color w:val="14284B"/>
          <w:sz w:val="16"/>
          <w:szCs w:val="16"/>
        </w:rPr>
        <w:t xml:space="preserve">BEAR CASE: EVERYTHING THAT COULD GO WRONG, GOES WRONG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Nominal WACC rises 100 bp and, at the same time, margin, occupancy, rent, sales, visitors and real growth fall to their historical low, with maintenance capex at its high. DCF value falls to CLP 1,190 and the target price to CLP 1,542 (−56.6%; total return −54.7%). (Figure 33).</w:t>
      </w:r>
    </w:p>
    <w:tbl>
      <w:tblPr>
        <w:tblpPr w:leftFromText="0" w:rightFromText="0" w:topFromText="0" w:bottomFromText="0" w:tblpX="7956" w:tblpY="16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Bear, base and bull: even with everything in our favor the target price stays 18% below the price (CLP per share)</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everything that could go wrong, goes wrong; base: everything as we project it; bull: everything in our favor (Appendix 18). Team illustrations. Source: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BASE CASE: EVERYTHING AS WE PROJECT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of 79.7% in 2026E, consolidated occupancy of 95.6% (2Q26), UF-indexed rents, a dated pipeline of 170,200 m² (USD 613 MM), continuous expansion and a terminal nominal WACC of 10.41% (7.20% real). It gives CLP 2,077 (−41.6%; total return −39.6%: growth earns less than the cost of capital (real RONIC 5.3% against a real WACC of 7.2%), so expansion adds revenue,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BULL CASE: EVERYTHING IN OUR FAVOR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Nominal WACC falls 100 bp, every operating variable reaches its historical high (price and sales rise together through variable rent) and the long-run tax rate falls to 23% (Reconstruction Law). DCF value rises to CLP 2,906 and the target price to CLP 2,915 (−18.0%; total return −16.0%): even with everything in our favor the target stays 18%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VERSUS THE CONSENSUS AND CATALYSTS</w:t>
      </w:r>
    </w:p>
    <w:tbl>
      <w:tblPr>
        <w:tblpPr w:leftFromText="0" w:rightFromText="0" w:topFromText="0" w:bottomFromText="0" w:tblpX="7956" w:tblpY="85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From our DCF to the price and the consensus: the gap is the discount rate (CLP per share)</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Consensus: Bloomberg 12-month target (14 sources). “Today at our Ke” = target / (1 + terminal nominal Ke). Source: Bloomberg;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Bloomberg consensus (14 sources) sets CLP 4,111 at 12 months; the gap is the discount rate (Figure 34): at the appraisers' WACC (8.72% nominal) the DCF rises to CLP 2,679. Catalysts: high long-term rates (nominal 10Y UST at 5.22%), each new appraisal (Note 11) that moves the cap rate toward our value and the normalization of the cash tax rate from 16.8% to 27%. Risks to the thesis: cap-rate compression or a structural premium for Tier A assets, the cut to a 23% tax rate (+5.2% to the target price) and corporate governance (Falabella controls 53.1%).</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AND COMPETITIVE POSITIONING</w:t>
      </w:r>
    </w:p>
    <w:p>
      <w:pPr>
        <w:keepNext w:val="false"/>
        <w:pBdr>
          <w:bottom w:val="single" w:color="14284B" w:sz="12" w:space="2"/>
        </w:pBdr>
        <w:spacing w:after="70" w:before="60"/>
      </w:pPr>
      <w:r>
        <w:rPr>
          <w:rFonts w:ascii="Arial" w:cs="Arial" w:eastAsia="Arial" w:hAnsi="Arial"/>
          <w:b/>
          <w:bCs/>
          <w:color w:val="14284B"/>
          <w:sz w:val="24"/>
          <w:szCs w:val="24"/>
        </w:rPr>
        <w:t xml:space="preserve">APPENDIX 3: NEW GLA SUPPLY, 2026-2028</w:t>
      </w:r>
    </w:p>
    <w:p>
      <w:pPr>
        <w:keepNext w:val="false"/>
        <w:shd w:fill="EEF1F6" w:color="auto" w:val="clear"/>
        <w:spacing w:after="80" w:line="228" w:lineRule="auto"/>
        <w:jc w:val="both"/>
      </w:pPr>
      <w:r>
        <w:rPr>
          <w:rFonts w:ascii="Arial" w:cs="Arial" w:eastAsia="Arial" w:hAnsi="Arial"/>
          <w:color w:val="1A1A1A"/>
          <w:sz w:val="16"/>
          <w:szCs w:val="16"/>
        </w:rPr>
        <w:t xml:space="preserve">The trio will add 432,030 m² between 2026 and 2028, of which 334,030 m² are organic (6.4% of their current total GLA; in Chile, 219,900 m², equivalent to 5.1% of the main operators' GLA in Chile and 6.7% of the trio's own GLA). Acquisitions (98,000 m², all by Parque Arauco) change owner but add no supply to the industry; the supply-versus-demand analysis for Chile (Figure 3) therefore uses organic GLA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BY COMPANY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BY OPENING YEAR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Organic</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Acquis.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Trio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organic GLA 2026-2028 over consolidated GLA at 2Q26. Mallplaza: 2028 includes 46,500 m² of “Other projects Chile”, dated 2028 by the 2025 Annual Report (p.45). Parque Arauco: 2026 = 2H26 (acquisitions). Cenco Malls: deliveries given as a range are placed at the end of the range. In Chile, the trio's organic supply (219,900 m²) equals 5.1% of the main operators' GLA (≈4.3 million m²: 3.29 million of the trio excluding offices ÷ 76%, its share of that universe; total market GLA is not available).</w:t>
            </w:r>
          </w:p>
          <w:p>
            <w:pPr>
              <w:keepNext w:val="false"/>
            </w:pPr>
          </w:p>
        </w:tc>
      </w:tr>
    </w:tbl>
    <w:p>
      <w:pPr>
        <w:keepNext w:val="false"/>
        <w:spacing w:after="0" w:before="10" w:line="216" w:lineRule="auto"/>
      </w:pPr>
      <w:r>
        <w:rPr>
          <w:rFonts w:ascii="Arial" w:cs="Arial" w:eastAsia="Arial" w:hAnsi="Arial"/>
          <w:i/>
          <w:iCs/>
          <w:color w:val="5F5F5F"/>
          <w:sz w:val="11"/>
          <w:szCs w:val="11"/>
        </w:rPr>
        <w:t xml:space="preserve">Source: Plaza S.A., 2Q26 Release (p.13) and 2025 Annual Report (p.45); Parque Arauco, 2Q26 Investor Presentation (slide 23); Cenco Malls, 2Q26 Corporate Presentation (slides 15-17). Dated projects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4: OCCUPANCY</w:t>
            </w:r>
          </w:p>
          <w:p>
            <w:pPr>
              <w:keepNext w:val="false"/>
              <w:shd w:fill="EEF1F6" w:color="auto" w:val="clear"/>
              <w:spacing w:after="80" w:line="228" w:lineRule="auto"/>
              <w:jc w:val="both"/>
            </w:pPr>
            <w:r>
              <w:rPr>
                <w:rFonts w:ascii="Arial" w:cs="Arial" w:eastAsia="Arial" w:hAnsi="Arial"/>
                <w:color w:val="1A1A1A"/>
                <w:sz w:val="16"/>
                <w:szCs w:val="16"/>
              </w:rPr>
              <w:t xml:space="preserve">The consolidated occupancy of the three operators has stayed between 93% and 99% since 2Q22, even through the inflation and high-rate cycle. Each company defines occupancy differently, so trends are compared rather than levels.</w:t>
            </w:r>
          </w:p>
          <w:p>
            <w:pPr>
              <w:keepNext w:val="false"/>
              <w:pBdr>
                <w:bottom w:val="single" w:color="E9004B" w:sz="8" w:space="1"/>
              </w:pBdr>
              <w:spacing w:after="50" w:before="40"/>
            </w:pPr>
            <w:r>
              <w:rPr>
                <w:rFonts w:ascii="Arial" w:cs="Arial" w:eastAsia="Arial" w:hAnsi="Arial"/>
                <w:b/>
                <w:bCs/>
                <w:color w:val="14284B"/>
                <w:sz w:val="16"/>
                <w:szCs w:val="16"/>
              </w:rPr>
              <w:t xml:space="preserve">A. CONSOLIDATED OCCUPANCY RATE, 2Q22-2Q26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Mallplaza includes Open Plaza since 2Q25.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5: MARKET SHARE IN CHILE</w:t>
            </w:r>
          </w:p>
          <w:p>
            <w:pPr>
              <w:keepNext w:val="false"/>
              <w:shd w:fill="EEF1F6" w:color="auto" w:val="clear"/>
              <w:spacing w:after="80" w:line="228" w:lineRule="auto"/>
              <w:jc w:val="both"/>
            </w:pPr>
            <w:r>
              <w:rPr>
                <w:rFonts w:ascii="Arial" w:cs="Arial" w:eastAsia="Arial" w:hAnsi="Arial"/>
                <w:color w:val="1A1A1A"/>
                <w:sz w:val="16"/>
                <w:szCs w:val="16"/>
              </w:rPr>
              <w:t xml:space="preserve">The trio's GLA in Chile grew 7.3% since 2Q22. Mallplaza gave up 1.2 pp of share because it grew only through expansions, while Parque Arauco added Kennedy Oriente (70,000 m²) by purchase.</w:t>
            </w:r>
          </w:p>
          <w:p>
            <w:pPr>
              <w:keepNext w:val="false"/>
              <w:pBdr>
                <w:bottom w:val="single" w:color="E9004B" w:sz="8" w:space="1"/>
              </w:pBdr>
              <w:spacing w:after="50" w:before="40"/>
            </w:pPr>
            <w:r>
              <w:rPr>
                <w:rFonts w:ascii="Arial" w:cs="Arial" w:eastAsia="Arial" w:hAnsi="Arial"/>
                <w:b/>
                <w:bCs/>
                <w:color w:val="14284B"/>
                <w:sz w:val="16"/>
                <w:szCs w:val="16"/>
              </w:rPr>
              <w:t xml:space="preserve">A. SHARE WITHIN THE TRIO, 2Q22-2Q26 (% OF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Team analysis.</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APPENDIX 6: PORTER'S FIVE FORCES</w:t>
      </w:r>
    </w:p>
    <w:p>
      <w:pPr>
        <w:keepNext w:val="false"/>
        <w:shd w:fill="EEF1F6" w:color="auto" w:val="clear"/>
        <w:spacing w:after="80" w:line="228" w:lineRule="auto"/>
        <w:jc w:val="both"/>
      </w:pPr>
      <w:r>
        <w:rPr>
          <w:rFonts w:ascii="Arial" w:cs="Arial" w:eastAsia="Arial" w:hAnsi="Arial"/>
          <w:color w:val="1A1A1A"/>
          <w:sz w:val="16"/>
          <w:szCs w:val="16"/>
        </w:rPr>
        <w:t xml:space="preserve">Attractive industry: with whole-number scores by country weighted by Mallplaza's GLA, the only intense force is rivalry (4), which plays out in experience and assets rather than price, since in 2Q26 same-store rents rose in Chile at all three operators (table B).</w:t>
      </w:r>
    </w:p>
    <w:p>
      <w:pPr>
        <w:keepNext w:val="false"/>
        <w:pBdr>
          <w:bottom w:val="single" w:color="E9004B" w:sz="8" w:space="1"/>
        </w:pBdr>
        <w:spacing w:after="50" w:before="40"/>
      </w:pPr>
      <w:r>
        <w:rPr>
          <w:rFonts w:ascii="Arial" w:cs="Arial" w:eastAsia="Arial" w:hAnsi="Arial"/>
          <w:b/>
          <w:bCs/>
          <w:color w:val="14284B"/>
          <w:sz w:val="16"/>
          <w:szCs w:val="16"/>
        </w:rPr>
        <w:t xml:space="preserve">A. SCORES BY COUNTRY AND MAIN EVIDENCE (1 = WEAK FORCE; 5 = INTENSE FORCE)</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Main evidence</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Rivalry</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reinvestment race in experience; asset purchases (Minka, Plaza Central; Quilín and Chicureo announced); supply catching up with consumption in 2027. Stable shares and margins of 71-90%. No price war: positive SSR/SAR in Chile (table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entrants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intensive (USD 613 million for 170,200 m² at Mallplaza); incumbents' land banks; Peru and Colombia less concentrated; Colombia with most malls under horizontal ownership.</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bargaining power</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of the three operators 96-99% (2Q26); contracts averaging 5.0-8.7 years; top 5 = 18% of Mallplaza's revenue; Chile SSR above CPI (6.9% vs 4.8%, 1Q23-2Q26); department stores 19.0% of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Supplier bargaining power</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 expenses passed through to tenants (2025 Annual Report, note 2.20); cost of sales 6.2% of Mallplaza's revenue.</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Substitutes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Mallplaza's rental income is fixed; 2Q26 visits +4.4% Chile, +1.3% Peru, +2.5% Colombia; shift to experience. No official e-commerce data by country.</w:t>
            </w:r>
          </w:p>
        </w:tc>
      </w:tr>
    </w:tbl>
    <w:p>
      <w:pPr>
        <w:keepNext w:val="false"/>
        <w:spacing w:after="0" w:before="10" w:line="216" w:lineRule="auto"/>
      </w:pPr>
      <w:r>
        <w:rPr>
          <w:rFonts w:ascii="Arial" w:cs="Arial" w:eastAsia="Arial" w:hAnsi="Arial"/>
          <w:i/>
          <w:iCs/>
          <w:color w:val="5F5F5F"/>
          <w:sz w:val="11"/>
          <w:szCs w:val="11"/>
        </w:rPr>
        <w:t xml:space="preserve">Source: Team analysis. Final score = average weighted by Mallplaza's GLA at 2Q26 (Chile 61.9%, Peru 26.2%, Colombia 11.9%), rounded to the nearest integer. For new entrants the weighted score sits at the threshold (1.5) and the team sets it at 2 because of lower entry barriers in Peru and Colombia.</w:t>
      </w:r>
    </w:p>
    <w:p>
      <w:pPr>
        <w:keepNext w:val="false"/>
        <w:pBdr>
          <w:bottom w:val="single" w:color="E9004B" w:sz="8" w:space="1"/>
        </w:pBdr>
        <w:spacing w:after="50" w:before="120"/>
      </w:pPr>
      <w:r>
        <w:rPr>
          <w:rFonts w:ascii="Arial" w:cs="Arial" w:eastAsia="Arial" w:hAnsi="Arial"/>
          <w:b/>
          <w:bCs/>
          <w:color w:val="14284B"/>
          <w:sz w:val="16"/>
          <w:szCs w:val="16"/>
        </w:rPr>
        <w:t xml:space="preserve">B. PRICE INDICATORS BY OPERATOR, 2Q26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Indicator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Same-store or same-area rent (YoY change)</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Monthly revenue per m² (YoY change)</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 cost (2Q25)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Source: Plaza S.A., 2Q26 Release (p.18); Cenco Malls, 2Q26 Earnings Presentation (p.17); Parque Arauco, 2Q26 Earnings Report (p.5, p.6 and p.21). Each indicator follows each company's definition: Mallplaza's SSR considers fixed rent in Chile and the change in the UF; Cenco Malls' includes variable rent (Cenco Malls 1Q26: “SSR Chile reflects the effect of lower sales”); Parque Arauco's SAR measures rent collected in areas leased in both periods. *Includes common expenses and promotion fund: its level is not comparable, its change is. Mallplaza's revenue per m² change in Colombia (+8.0%) is a team calculation: 84,790 / 78,545 − 1. Everything else is published data.</w:t>
      </w:r>
    </w:p>
    <w:p>
      <w:pPr>
        <w:keepNext w:val="false"/>
        <w:pBdr>
          <w:bottom w:val="single" w:color="14284B" w:sz="12" w:space="2"/>
        </w:pBdr>
        <w:spacing w:after="70" w:before="200"/>
      </w:pPr>
      <w:r>
        <w:rPr>
          <w:rFonts w:ascii="Arial" w:cs="Arial" w:eastAsia="Arial" w:hAnsi="Arial"/>
          <w:b/>
          <w:bCs/>
          <w:color w:val="14284B"/>
          <w:sz w:val="24"/>
          <w:szCs w:val="24"/>
        </w:rPr>
        <w:t xml:space="preserve">APPENDIX 7: MAIN ASSUMPTIONS</w:t>
      </w:r>
    </w:p>
    <w:p>
      <w:pPr>
        <w:keepNext w:val="false"/>
        <w:shd w:fill="EEF1F6" w:color="auto" w:val="clear"/>
        <w:spacing w:after="80" w:line="228" w:lineRule="auto"/>
        <w:jc w:val="both"/>
      </w:pPr>
      <w:r>
        <w:rPr>
          <w:rFonts w:ascii="Arial" w:cs="Arial" w:eastAsia="Arial" w:hAnsi="Arial"/>
          <w:color w:val="1A1A1A"/>
          <w:sz w:val="16"/>
          <w:szCs w:val="16"/>
        </w:rPr>
        <w:t xml:space="preserve">Criteria used so that figures are comparable across operators and consistent with the official 2Q26 reports.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over each country's main operators (slide 7, 2Q26 Institutional Presentation). Partial HHI: considers only the operators identified on slide 7, so it is a floor (the real HHI is equal or higher); classified with the 2023 DOJ/FTC Merger Guidelines thresholds (above 1,800 = highly concentrated). Colombia pro forma: includes Gran Plaza (announced acquisition of 179,667 m²; 2Q26 Release); without it, Mallplaza's share would be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dated projects in official reports at 2Q26 and the 2025 Annual Report; dates given as a range are placed at the end of the range; acquisitions are not new supply for the industry.</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m² that depend on consumption (excludes offices and multifamily); base GLA excludes Cenco Malls' offices. Private consumption from the September 2026 IPoM is used as a demand indicator, not as a sales projection. Main-operators GLA in Chile ≈ trio GLA excluding offices ÷ 76% (the trio's share of that universe, slide 7); total market GLA is not available, and the trio's supply is a lower bound of the industry's supply.</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per each company's definition (none includes the IAS 40 revaluation); 2Q26 EBITDA not annualized; GLA consolidated at 100% of controlled assets. Parque Arauco: multifamily NOI (CLP 503 million) is subtracted, since its size is reported in units and not in m²; effect −0.7%, does not change the ranking.</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Contracts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duration weighted by GLA. Cenco Malls states it explicitly; Parque Arauco presents its maturity profile as % of GLA but does not state the basis of its average duration; Mallplaza does not publish the basis. In both cases GLA is assumed.</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in Chile 2Q26 vs 2Q25 deflated with the 12-month CPI of June 2026 (4.3%; INE, release of 08-07-2026). Cenco Malls 2Q25 calculated from its published change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(Peru)</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InRetail 2Q26 adjusted EBITDA, Shopping Malls segment (S/ 131 million; excludes investment property revaluation) ÷ total GLA of 888,000 m² (InRetail, 2Q26 Corporate Presentation, p.26 and p.29). Mallplaza Peru: published monthly EBITDA per m² (S/ 53) × 3 (2Q26 Release, p.18). Margins are not compared: InRetail calculates its own on net rent.</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30-Jun-2026;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A8.1: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A8.2: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A8.3: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A8.4: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A8.5: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the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financials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Rents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Appraisal midpoints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and Colombia 97.5% constant;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returns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incl. 46,500 m² of other projects in Chile); 35/90/100% ramp; 170,200 m² in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2025 Annual Report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m²/yr opening from 2029E (67% Chile / 33% Peru); USD 3,603/m² indexed to CPI; capex 50% in t−2 and 50% in t−1 (from 2027E); 80.7% margin;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Organic GLA avg 2022, 2023, 2025; pipeline cost/m²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Year-end consensus 2026–28; purchasing-power parity afterwards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of revenue from 2H26E; 2026E = 1H26 actual (2,993) + 2H26E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Chile's rate on all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Peru/Colombia in Appendix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 (2H26E: half year)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579m remaining at Jun-26 (USD 445m dated projects + USD 134m other projects in Chile), spread until opening (2H26E–28E)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 Team analysis</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expansion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 (above); terminal incremental capex = 0 (real g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real WACC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Dec-25 financials, first close with full Peru</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debt/EBITDA 2.36x (Jun-26) → 3.5x by Dec-31E, linear; cash above plan returned via buybacks or special dividends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above 2.36x; UF indexation on 79% of debt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0.7m LTM Jun-26 vs USD 55.2m in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Subsequent event: 31-Jul-26 contract subject to the SIC (Note 30); USD 376m at a 9.4% cap rate (LTM NOI); ~−CLP 11/share at our cap rate (Appendix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After the valuation date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with a one-year lag, plus the additional distributions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release; Bloomberg ECFC; PwC Tax Summaries (Jul-26);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and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Attributable profit</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FFO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assets</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assets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 (ST + LT)</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equity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equity</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Share issuance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2025 − 1H25 + 1H26. 2024 restated in the Dec-25 financials; 2022A from the restated Dec-23 financials. Vertical analysis: % of total assets at Jun-26; the balance sheet is 92% investment property at fair value and deferred taxes (CLP 1,314bn) equal 80% of gross debt. Source: Plaza S.A. financial statements (CMF) Dec-24, Dec-25, Jun-26.</w:t>
            </w:r>
          </w:p>
          <w:p>
            <w:pPr>
              <w:keepNext w:val="false"/>
              <w:spacing w:after="30" w:before="100" w:line="228" w:lineRule="auto"/>
            </w:pPr>
            <w:r>
              <w:rPr>
                <w:rFonts w:ascii="Arial" w:cs="Arial" w:eastAsia="Arial" w:hAnsi="Arial"/>
                <w:b/>
                <w:bCs/>
                <w:color w:val="14284B"/>
                <w:sz w:val="14"/>
                <w:szCs w:val="14"/>
              </w:rPr>
              <w:t xml:space="preserve">Appendix 10D: </w:t>
            </w:r>
            <w:r>
              <w:rPr>
                <w:rFonts w:ascii="Arial" w:cs="Arial" w:eastAsia="Arial" w:hAnsi="Arial"/>
                <w:color w:val="14284B"/>
                <w:sz w:val="14"/>
                <w:szCs w:val="14"/>
              </w:rPr>
              <w:t xml:space="preserve">Sources and uses of cash and change in operating cash flow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New debt (bonds + loans)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received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sources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(IP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Debt repayment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Minorities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increase (before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 cover: FCF before debt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Cover after net debt repayment</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Contractual capex commitments (Note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net debt / equity (≤ 2.0x; Note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operating cash flow</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Collections from sales and services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suppliers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employees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operating payments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Taxes paid</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inflows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Operating cash flow</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The 1H26 rise comes from collections (partly December balances: receivable days from 66 to 50) and lower taxes paid; it is not extrapolated. FCF = operating cash flow − capex − net interest (2025: 68.2 paid − 10.8 received = 57.4, the latter within “Interest received and other”; 1H26: 30.1 − 8.5 = 21.6). Source: Dec-25 and Jun-26 financials, direct cash-flow statement; Notes 11 and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(distributable profit)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capital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real WACC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operating working capital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 days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Margin bridge (point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(cost of sales + G&amp;A)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included in those costs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EBITDA margin</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Monthly revenue / EBITDA per m² (CLP, LTM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ROIC is a cash return on capital at fair value (excluding property revaluation): it is compared with the real WACC, not the nominal one. Operating costs include D&amp;A; without it they are exactly 1 − EBITDA margin. Jun-26 leverage on LTM EBITDA; Dec-24 collection days n.m. (Peru consolidates one month). Source: Financial statements (CMF); MD&amp;A 1H26; 2Q26 Release (p. 8; m²); Team analysis.</w:t>
            </w:r>
          </w:p>
          <w:p>
            <w:pPr>
              <w:keepNext w:val="false"/>
              <w:spacing w:after="30" w:before="100" w:line="228" w:lineRule="auto"/>
            </w:pPr>
            <w:r>
              <w:rPr>
                <w:rFonts w:ascii="Arial" w:cs="Arial" w:eastAsia="Arial" w:hAnsi="Arial"/>
                <w:b/>
                <w:bCs/>
                <w:color w:val="14284B"/>
                <w:sz w:val="14"/>
                <w:szCs w:val="14"/>
              </w:rPr>
              <w:t xml:space="preserve">Appendix 11B: </w:t>
            </w:r>
            <w:r>
              <w:rPr>
                <w:rFonts w:ascii="Arial" w:cs="Arial" w:eastAsia="Arial" w:hAnsi="Arial"/>
                <w:color w:val="14284B"/>
                <w:sz w:val="14"/>
                <w:szCs w:val="14"/>
              </w:rPr>
              <w:t xml:space="preserve">Net debt/EBITDA bridge Dec-24 → Jun-26 (CLP bn)</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Net debt</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Dec-24 reported (Peru consolidates one month)</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Perimeter: Peru 12 months instead of 1 (LTM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growth of the rest (to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Lower net debt = Jun-26 reported</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Peru = revenue − cost of sales − segment G&amp;A (Dec-24 Note 31; Dec-25 Note 25; Jun-26 Note 24). Using LTM Jun-26 as a proxy for the full year makes 3.03x a lower bound of the 2024 pro forma.</w:t>
            </w:r>
          </w:p>
          <w:p>
            <w:pPr>
              <w:keepNext w:val="false"/>
              <w:spacing w:after="30" w:before="100" w:line="228" w:lineRule="auto"/>
            </w:pPr>
            <w:r>
              <w:rPr>
                <w:rFonts w:ascii="Arial" w:cs="Arial" w:eastAsia="Arial" w:hAnsi="Arial"/>
                <w:b/>
                <w:bCs/>
                <w:color w:val="14284B"/>
                <w:sz w:val="14"/>
                <w:szCs w:val="14"/>
              </w:rPr>
              <w:t xml:space="preserve">Appendix 11C: </w:t>
            </w:r>
            <w:r>
              <w:rPr>
                <w:rFonts w:ascii="Arial" w:cs="Arial" w:eastAsia="Arial" w:hAnsi="Arial"/>
                <w:color w:val="14284B"/>
                <w:sz w:val="14"/>
                <w:szCs w:val="14"/>
              </w:rPr>
              <w:t xml:space="preserve">Figures in the text: calculation and source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Figure</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Value</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Source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Rise in Chile investment property from fair value (1,141.2 / Chile IP Dec-24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effect: (6.62% − 0.5%) / (5.64% − 0.5%) − 1, perpetuity</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Note 11: Dec-24 / Dec-25 midpoints</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share of the rise (“two-thirds”)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Calculation</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from perimeter: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ex-Peru: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revenue (704.0) vs BEst consensus (701.7; 13 analysts)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EBITDA (561.3) vs BEst consensus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ROE with the same method as peers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Appendix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revaluation is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(mainly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Adjusted EBITDA</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revaluation and is not used. Source: Financial statements (CMF), Notes 23.1–23.3; 2Q26 release; Team analysis.</w:t>
            </w:r>
          </w:p>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continuous expansion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1H26 actual (no breakdown)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maintenance + 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Incremental capex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Incremental capex — continuous expansion</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capex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D&amp;A 3.0 + 2.6; 1H26 capex (84.2) has no breakdown by type in the release; Δ working capital and additional distributions cover 2H26E only. FFO = (EBITDA − net financial cost) × (1 − cash tax), before minorities (~1%); distributable profit = FFO − UF indexation (model proxy for projections; 2025A is the audited CLP 369bn, Note 20e). Source: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With the same adjustment, Mallplaza has the highest normalized ROE among its local peers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 Malls</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 opening property</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 (consolidated)</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 same method for all three</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 Mallplaza on distributable profit</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IP)</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with JV/associate investments in the denominator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attributable equity, closing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Normalized = attributable profit − revaluation × (1 − 27%) × % attributable to the parent; revaluation = operating profit − (EBITDA − D&amp;A) at Mallplaza and Parque Arauco, and −net other operating income at Cenco Malls. Limits: uniform 27% (Peru 29.5%, Colombia 35%); Cenco Malls EBITDA = revenue × Bloomberg adjusted margin; all three operate in Chile, Peru and Colombia, with different weights. Parque Arauco's investment in associates: CLP 209.2bn (Dec-25). Source: Financial statements (CMF); Bloomberg FA (PARAUCO CI, CENCOMAL CI; 28-Sep-26);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4"/>
          <w:szCs w:val="14"/>
        </w:rPr>
        <w:t xml:space="preserve">FCFF in nominal CLP from 30-Jun-26, mid-period convention and each period's WACC (Appendix 19). Capex is split into maintenance and IT (5.5% of revenue) and incremental capex (pipeline under way and continuous expansion). Terminal value uses 2032E FCFF with nominal g of 3.0% (0% real: terminal incremental capex is zero because RONIC is below the real WACC) and a terminal WACC of 10.41%, and includes 108,301 m² of GLA maturing after 2031. It explains 78% of EV. Sections D and E break down each line and prove it ties to the DCF.</w:t>
      </w:r>
    </w:p>
    <w:p>
      <w:pPr>
        <w:keepNext w:val="false"/>
        <w:pBdr>
          <w:bottom w:val="single" w:color="E9004B" w:sz="8" w:space="1"/>
        </w:pBdr>
        <w:spacing w:after="50" w:before="80"/>
      </w:pPr>
      <w:r>
        <w:rPr>
          <w:rFonts w:ascii="Arial" w:cs="Arial" w:eastAsia="Arial" w:hAnsi="Arial"/>
          <w:b/>
          <w:bCs/>
          <w:color w:val="14284B"/>
          <w:sz w:val="16"/>
          <w:szCs w:val="16"/>
        </w:rPr>
        <w:t xml:space="preserve">A. FIRM FREE CASH FLOW BY PERIOD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pipeline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terminal value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7,292,232 MM (implied terminal cap rate 11.3%; implied LTM EV/EBITDA of EV 9.9x). Bloomberg net debt (CLP 1,311,569 MM, used in multiples) differs from net financial debt by IFRS 16 lease liabilities (CLP 25,828 MM at Jun-26). Source: Team analysis; 2,190 MM shares.</w:t>
      </w:r>
    </w:p>
    <w:p>
      <w:pPr>
        <w:keepNext w:val="false"/>
        <w:pBdr>
          <w:bottom w:val="single" w:color="E9004B" w:sz="8" w:space="1"/>
        </w:pBdr>
        <w:spacing w:after="50" w:before="100"/>
      </w:pPr>
      <w:r>
        <w:rPr>
          <w:rFonts w:ascii="Arial" w:cs="Arial" w:eastAsia="Arial" w:hAnsi="Arial"/>
          <w:b/>
          <w:bCs/>
          <w:color w:val="14284B"/>
          <w:sz w:val="16"/>
          <w:szCs w:val="16"/>
        </w:rPr>
        <w:t xml:space="preserve">D. BREAKDOWN OF THE DCF LINES (CLP MM UNLESS STATED)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Revenue: base + expansion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(operating engine)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Continuous expansion (cohorts from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 Colombia, calendar year (CLP bn)</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Bridge to terminal: + maturation of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and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Expansion EBITDA (margin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Peru / Colombia, calendar year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total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Tax, capex and working capital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 EBIT × rate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 pipeline and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revenue for working capital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Country revenue from Appendix 13 (calendar year; 0.1 bn precision). 1H26 capex has no breakdown by type: the release only gives the LTM breakdown (USD 132.5m: maintenance 40.0; IT and other 10.2; brownfield 52.5; reconversion 29.1; greenfield 0.7). Yield on cost 7.3%; real RONIC 5.3% vs real WACC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TIE-OUT CHECK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Line: breakdown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Max. |diff.| 2H26E–Terminal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EBITDA</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Operating tax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(maintenance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value / PV of TV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Value per share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READING</w:t>
            </w:r>
          </w:p>
          <w:p>
            <w:pPr>
              <w:keepNext w:val="false"/>
              <w:shd w:fill="EEF1F6" w:color="auto" w:val="clear"/>
              <w:spacing w:after="40" w:line="216" w:lineRule="auto"/>
              <w:jc w:val="both"/>
            </w:pPr>
            <w:r>
              <w:rPr>
                <w:rFonts w:ascii="Arial" w:cs="Arial" w:eastAsia="Arial" w:hAnsi="Arial"/>
                <w:color w:val="1A1A1A"/>
                <w:sz w:val="14"/>
                <w:szCs w:val="14"/>
              </w:rPr>
              <w:t xml:space="preserve">Maximum absolute difference across all lines and periods: 0. The breakdown only reorders the DCF: EV CLP 5,407,032 MM, DCF value CLP 1,859 and target price CLP 2,077. Incremental capex (pipeline + expansion) weighs 38%–36% of revenue in 2H26E–2027E and ~11% from 2029E; maintenance, 5.5%. The terminal only funds maintenance: growing at a real RONIC of 5.3% under a real WACC of 7.2% would subtract value (Figure 23).</w:t>
            </w:r>
          </w:p>
          <w:p>
            <w:pPr>
              <w:keepNext w:val="false"/>
              <w:shd w:fill="EEF1F6" w:color="auto" w:val="clear"/>
              <w:spacing w:after="40" w:line="216" w:lineRule="auto"/>
              <w:jc w:val="both"/>
            </w:pPr>
            <w:r>
              <w:rPr>
                <w:rFonts w:ascii="Arial" w:cs="Arial" w:eastAsia="Arial" w:hAnsi="Arial"/>
                <w:color w:val="1A1A1A"/>
                <w:sz w:val="14"/>
                <w:szCs w:val="14"/>
              </w:rPr>
              <w:t xml:space="preserve">Terminal value starts from 2031E revenue (982,334), adds the maturation of the expansion already funded (+17,858; the gross mature revenue, 40,818, includes 22,960 already in 2031E) and indexes for inflation (+30,006) to 1,030,197; 2032E FCFF = NOPAT 594,732 + D&amp;A 7,249 − maintenance 56,661 − working capital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APPENDIX 16: PROJECTION ASSUMPTIONS</w:t>
      </w:r>
    </w:p>
    <w:p>
      <w:pPr>
        <w:keepNext w:val="false"/>
        <w:shd w:fill="EEF1F6" w:color="auto" w:val="clear"/>
        <w:spacing w:after="40" w:line="216" w:lineRule="auto"/>
        <w:jc w:val="both"/>
      </w:pPr>
      <w:r>
        <w:rPr>
          <w:rFonts w:ascii="Arial" w:cs="Arial" w:eastAsia="Arial" w:hAnsi="Arial"/>
          <w:color w:val="1A1A1A"/>
          <w:sz w:val="14"/>
          <w:szCs w:val="14"/>
        </w:rPr>
        <w:t xml:space="preserve">The base forecast follows the team's operating engine with the full dated pipeline (170,200 m², announced pipeline through 2028, including 46,500 m² of other projects in Chile); from 2029 a continuous expansion at the historical opening pace is added. 2026E revenue is calendar-year; the 2H26E period nets out the 1H26 actual (CLP 339,530 MM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PROJECTION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 the 2H26E column shows full-year 2026E)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 (calendar year)</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 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incremental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294,192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250,711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MM,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 2025 Annual Report)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 (from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incremental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(real g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 (LTM 2Q26)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prepaid rents (Dec-25,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g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profit</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DEBT SCHEDULE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Opening net debt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cost, after tax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UF indexation, after tax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Ordinary dividends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Additional distribution (buyback / special dividend)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Closing net debt</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net debt / EBITDA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gross debt (constant cash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Net debt(t) = net debt(t−1) − FCFF + financial cost and UF indexation after tax + ordinary dividends + additional distribution, which takes net debt to the target path (2.36x → 3.5x). Financial cost: 3.08% of net debt + 25 bp per turn above 2.36x; UF indexation on 79% of debt at 3.0%. Bond maturities: Figure 18. Source: 2Q26 Release; Dec-25 financials; Team analysis.</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4"/>
          <w:szCs w:val="14"/>
        </w:rPr>
        <w:t xml:space="preserve">We use the same peer set as the WACC beta. LTM EV/EBITDA is the main method (neutral to leverage and to IAS 40 revaluation); the multiple weights the Chilean median 70% and the common-set median 30%. P/E and P/BV mix fair-value and cost-based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MM;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NTM EV/EBITDA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P/E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LTM EV/EBITDA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NTM EV/EBITDA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EV/EBIT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P/E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CLP 544,935 MM = EV 7,825,944 − Bloomberg net debt 1,311,569 − minorities 50,841 = CLP 2,951 per share (2,190 MM shares). Fibra Danhos is excluded because of its FIBRA regime and because it has no beta in the WACC; IRSA reports under IAS 29. Source: Bloomberg; Team analysis.</w:t>
      </w:r>
    </w:p>
    <w:p>
      <w:pPr>
        <w:keepNext w:val="false"/>
        <w:pBdr>
          <w:bottom w:val="single" w:color="14284B" w:sz="18" w:space="2"/>
        </w:pBdr>
        <w:spacing w:after="80" w:before="20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4"/>
          <w:szCs w:val="14"/>
        </w:rPr>
        <w:t xml:space="preserve">No scenario or alternative method reaches the CLP 3,555 price. Scenarios are computed with the DCF replica (it reproduces the base value exactly) and the target price keeps the 80% DCF weight and the multiples value of CLP 2,951. Bear is everything going wrong at once; bull, everything going right; both use the same levers as the Risks tornado.</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6266"/>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62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 (all at once)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wrong: nominal WACC +100 bp in all periods; EBITDA margin 75.8%, occupancy 95.1%, same-store rent 2027–28 3.7%, tenant sales 3.7%, 2029–31 real growth at the Note 11 floor, visitors 5.6%, maintenance capex 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62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 v4; nominal WACC 10.54% → 10.41%; g 3.0%; margin 79.7%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right: nominal WACC −100 bp; margin 81.3%, occupancy 96.6%, same-store rent 9.4%, tenant sales 9.9%, real growth at the Note 11 ceiling, visitors 17.3%, maintenance capex 4.8%; cash tax capped at 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62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all periods</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Bear and bull are illustrative extreme scenarios with no probability assigned: the probability of outcomes is estimated with the simulation in the next section (Figure A18.1). Source: Team analysis.</w:t>
      </w:r>
    </w:p>
    <w:p>
      <w:pPr>
        <w:keepNext w:val="false"/>
        <w:pBdr>
          <w:bottom w:val="single" w:color="E9004B" w:sz="8" w:space="1"/>
        </w:pBdr>
        <w:spacing w:after="50" w:before="120"/>
      </w:pPr>
      <w:r>
        <w:rPr>
          <w:rFonts w:ascii="Arial" w:cs="Arial" w:eastAsia="Arial" w:hAnsi="Arial"/>
          <w:b/>
          <w:bCs/>
          <w:color w:val="14284B"/>
          <w:sz w:val="16"/>
          <w:szCs w:val="16"/>
        </w:rPr>
        <w:t xml:space="preserve">MONTE CARLO SIMULATION: TARGET PRICE DISTRIBUTION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900"/>
              <w:tblBorders>
                <w:top w:val="none" w:color="FFFFFF" w:sz="0"/>
                <w:left w:val="none" w:color="FFFFFF" w:sz="0"/>
                <w:bottom w:val="none" w:color="FFFFFF" w:sz="0"/>
                <w:right w:val="none" w:color="FFFFFF" w:sz="0"/>
                <w:insideH w:val="none" w:color="FFFFFF" w:sz="0"/>
                <w:insideV w:val="none" w:color="FFFFFF" w:sz="0"/>
              </w:tblBorders>
            </w:tblPr>
            <w:tblGrid>
              <w:gridCol w:w="3400"/>
              <w:gridCol w:w="1500"/>
            </w:tblGrid>
            <w:tr>
              <w:trPr>
                <w:tblHeader/>
              </w:trPr>
              <w:tc>
                <w:tcPr>
                  <w:tcW w:type="dxa" w:w="3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Simulated target price (CLP)</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Mean</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2,057</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2,047</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Standard deviation</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P5 / P25</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1,799 / 1,940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P75 / P95</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2,164 / 2,354</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target ≥ CLP 3,555 (price)</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target ≥ CLP 4,111 (consensus)</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 target &lt; CLP 2,077 (base case)</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57.3%</w:t>
                  </w:r>
                </w:p>
              </w:tc>
            </w:tr>
          </w:tbl>
          <w:p>
            <w:pPr>
              <w:keepNext w:val="false"/>
              <w:spacing w:after="20" w:before="40"/>
            </w:pPr>
            <w:r>
              <w:rPr>
                <w:rFonts w:ascii="Arial" w:cs="Arial" w:eastAsia="Arial" w:hAnsi="Arial"/>
                <w:color w:val="1A1A1A"/>
                <w:sz w:val="13"/>
                <w:szCs w:val="13"/>
              </w:rPr>
              <w:t xml:space="preserve">Contribution to variance (rank correlation): WACC 80.8%; Same-store rent 6.2%; EBITDA margin 6.1%; Nominal g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A18.1: </w:t>
            </w:r>
            <w:r>
              <w:rPr>
                <w:rFonts w:ascii="Arial" w:cs="Arial" w:eastAsia="Arial" w:hAnsi="Arial"/>
                <w:color w:val="14284B"/>
                <w:sz w:val="14"/>
                <w:szCs w:val="14"/>
              </w:rPr>
              <w:t xml:space="preserve">Target price distribution in 10,000 simulations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8764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100% of simulations stay below the CLP 3,555 price. Source: Team analysis.</w:t>
            </w:r>
          </w:p>
        </w:tc>
      </w:tr>
    </w:tbl>
    <w:p>
      <w:pPr>
        <w:keepNext w:val="false"/>
        <w:spacing w:after="0" w:before="10" w:line="216" w:lineRule="auto"/>
      </w:pPr>
      <w:r>
        <w:rPr>
          <w:rFonts w:ascii="Arial" w:cs="Arial" w:eastAsia="Arial" w:hAnsi="Arial"/>
          <w:color w:val="5F5F5F"/>
          <w:sz w:val="11"/>
          <w:szCs w:val="11"/>
        </w:rPr>
        <w:t xml:space="preserve">Assumptions: 10,000 iterations, seed 42; triangular distributions (min/base/max, 4Q23–2Q26 extremes of the Risks tornado): EBITDA margin 75.8%/80.6%/81.3%, occupancy 95.1%/95.6%/96.6%, same-store rent 2027–28 3.7%/5.4%/9.4%, tenant sales 3.7%/3.7%/9.9% (0.5 correlation with rent, Gaussian copula; the rest independent), visitors 5.6%/9.8%/17.3%, maintenance + IT capex 4.8%/5.5%/6.6%, nominal g 2.5%/3.0%/4.0%, real growth 2029–31 between the Note 11 floor and ceiling. WACC: normal shift, mean 0, standard deviation 50 bp, truncated at ±150 bp. Tax 27% (no cut to 23%). Target = 80% DCF + 20% fixed multiples (CLP 2,951); with everything at base it reproduces the CLP 1,859 DCF and CLP 2,077 target. Source: Team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ASSUMPTIONS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Peso-bond Rf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Net debt/EBITDA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EFFECT OF EACH LEVER ALONE ON THE DCF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Lever (tornado extremes)</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(price)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Visitor traffic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(variable rent)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±100 bp</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 tax (bull only)</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ADDITIONAL SENSITIVITIES (OUTSIDE THE BASE CASE)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Sensitivity</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Tax by jurisdiction: Peru 29.5%, Colombia 35% (weighted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at the 1H26 run-rate (0.88% vs 0.704% of revenue)</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included: USD 376m at a 9.4% cap rate (order of magnitude)</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and bull: every lever at the historical minimum/maximum of the Risks tornado (4Q23 and 3Q25 earnings releases for margin; Note 11 for long-run real growth) in all years; the bull does not recompute the WACC tax shield. Section D: each year's rate scaled by the EBITDA mix by country (Chile ~70%, Peru ~20%, Colombia ~10%; PwC Tax Summaries, Peru reviewed 13-Jul-26, Colombia 21-Jul-26); Gran Plaza at our implied cap rate (10.1%) − price paid, applying an EBITDA cap rate to an NOI. None changes the recommendation. Source: Team analysis.</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analysis</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real coupon of the latest UF issue (base case)</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(Dec-25) / market cap at CLP 3,610 per share (current structure, CLP bn)</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analysis</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Team analysis.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 (Figure A19.1)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A19.1: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DCF replica matches the WACC calculation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2,449,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Team analysis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 The figures cover the shock transmission (Figure A20.1), oil (Figure A20.2), sovereign yields (Figure A20.3), spreads (Figure A20.4), world growth and inflation (Figure A20.5) and Chile (Figure A20.6).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model Rf: 4.98%</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A20.1: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5419725"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19725" cy="1352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A20.2: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2190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190750" cy="15430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A20.3: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2190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190750" cy="15430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A20.4: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21907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190750" cy="13906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A20.3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A20.5: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21907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190750" cy="1390650"/>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A20.6: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2190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19075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The MPR-projected CPI rises to 3.9% (4.3% over 12 months to June),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projected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+2.5%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2,077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projected (Jun-26 MPR); 4.3% over 12 months to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930b12feb78c2a7223e3994135daa5f82e020ffe.png"/><Relationship Id="rId11" Type="http://schemas.openxmlformats.org/officeDocument/2006/relationships/image" Target="media/e010fa78821f96152db623858c06a06b731a4784.png"/><Relationship Id="rId12" Type="http://schemas.openxmlformats.org/officeDocument/2006/relationships/image" Target="media/9b3e6470e9c84bcb572d554c6336e50291049666.png"/><Relationship Id="rId13" Type="http://schemas.openxmlformats.org/officeDocument/2006/relationships/image" Target="media/97008b1080de62d6fb081f52664a91d418d7934e.png"/><Relationship Id="rId14" Type="http://schemas.openxmlformats.org/officeDocument/2006/relationships/image" Target="media/128b7011b39de3be2a4085c1006f4097d392044c.png"/><Relationship Id="rId15" Type="http://schemas.openxmlformats.org/officeDocument/2006/relationships/image" Target="media/37bc2c9d21f6baca9caeffab8753d9f2824db313.png"/><Relationship Id="rId16" Type="http://schemas.openxmlformats.org/officeDocument/2006/relationships/image" Target="media/a5d67bc4cccf18f1e9866ab0fddc8f7585c35148.png"/><Relationship Id="rId17" Type="http://schemas.openxmlformats.org/officeDocument/2006/relationships/image" Target="media/8b3ec9bb34a90e890ff59d85fcaa88069066e2b2.png"/><Relationship Id="rId18" Type="http://schemas.openxmlformats.org/officeDocument/2006/relationships/image" Target="media/51e598226025a42a737e6fef5a13425c2c8649a0.png"/><Relationship Id="rId19" Type="http://schemas.openxmlformats.org/officeDocument/2006/relationships/image" Target="media/9570f91f852c6c39aad8d6f047dd2c1bef9ac37e.png"/><Relationship Id="rId20" Type="http://schemas.openxmlformats.org/officeDocument/2006/relationships/image" Target="media/7f8911a6a4fdcc2831d9e8a06b4c90219a71b39d.png"/><Relationship Id="rId21" Type="http://schemas.openxmlformats.org/officeDocument/2006/relationships/image" Target="media/34cf5efedec970dddabf7ad7f0397fa946dde7af.png"/><Relationship Id="rId22" Type="http://schemas.openxmlformats.org/officeDocument/2006/relationships/image" Target="media/67d3af205c0720abae927a295402b8173067a71d.png"/><Relationship Id="rId23" Type="http://schemas.openxmlformats.org/officeDocument/2006/relationships/image" Target="media/0ecdedf336d9450fef0f4340e7d2f3445bf5d5ea.png"/><Relationship Id="rId24" Type="http://schemas.openxmlformats.org/officeDocument/2006/relationships/image" Target="media/0e8de6046ea8cf465c51ece1e2db1d0fdb7f5b9e.png"/><Relationship Id="rId25" Type="http://schemas.openxmlformats.org/officeDocument/2006/relationships/image" Target="media/fbaa45cc822c3cf6d5ceb7547cdd01441f6bb8f4.png"/><Relationship Id="rId26" Type="http://schemas.openxmlformats.org/officeDocument/2006/relationships/image" Target="media/dc8b801e649da54e7f89f24358a854500a6aa7a3.png"/><Relationship Id="rId27" Type="http://schemas.openxmlformats.org/officeDocument/2006/relationships/image" Target="media/dfe16ef57941409eee6e94a2d6c5511e46a35793.png"/><Relationship Id="rId28" Type="http://schemas.openxmlformats.org/officeDocument/2006/relationships/image" Target="media/cd70afb4961fdf672e3df391146635f0bf499ed5.png"/><Relationship Id="rId29" Type="http://schemas.openxmlformats.org/officeDocument/2006/relationships/image" Target="media/1944e863e62344d05b6b4a9a1ea35573f0612b0e.png"/><Relationship Id="rId30" Type="http://schemas.openxmlformats.org/officeDocument/2006/relationships/image" Target="media/eeb49a167269fc0a91c0c4a75b20708efac19c4d.png"/><Relationship Id="rId31" Type="http://schemas.openxmlformats.org/officeDocument/2006/relationships/image" Target="media/4ae7c20583c482b8f70916045d7442759bde5013.png"/><Relationship Id="rId32" Type="http://schemas.openxmlformats.org/officeDocument/2006/relationships/image" Target="media/87e009da57857f052fa57f0e999c0938aab69c32.png"/><Relationship Id="rId33" Type="http://schemas.openxmlformats.org/officeDocument/2006/relationships/image" Target="media/6d4245e5736d476c6068841c65de536c03dc7734.png"/><Relationship Id="rId34" Type="http://schemas.openxmlformats.org/officeDocument/2006/relationships/image" Target="media/67c89cb4ae7917c65ab489b04440d7c5c815b40f.png"/><Relationship Id="rId35" Type="http://schemas.openxmlformats.org/officeDocument/2006/relationships/image" Target="media/67c8ea2a55c01eaf39a5b555e17932328157a3b1.png"/><Relationship Id="rId36" Type="http://schemas.openxmlformats.org/officeDocument/2006/relationships/image" Target="media/8ce02cfd5596b46551d3b09445cec0b23780f484.png"/><Relationship Id="rId37" Type="http://schemas.openxmlformats.org/officeDocument/2006/relationships/image" Target="media/f380d7fe63f8fd9a388d7c38a71d96b2a5e3197b.png"/><Relationship Id="rId38" Type="http://schemas.openxmlformats.org/officeDocument/2006/relationships/image" Target="media/2013f9d509b12f376912eb046c940a8b718f1150.png"/><Relationship Id="rId39" Type="http://schemas.openxmlformats.org/officeDocument/2006/relationships/image" Target="media/e66ec977db945196dc56c186ab1214ddefd8ca7a.png"/><Relationship Id="rId40" Type="http://schemas.openxmlformats.org/officeDocument/2006/relationships/image" Target="media/9a4c6a3eeed6c316724a526bd7def097993850a4.png"/><Relationship Id="rId41" Type="http://schemas.openxmlformats.org/officeDocument/2006/relationships/image" Target="media/b19010530b9f89b139583d8a0b69e20db4e80a4c.png"/><Relationship Id="rId42" Type="http://schemas.openxmlformats.org/officeDocument/2006/relationships/image" Target="media/c59b24049313dff36dc84ade4dcb2534413819d0.png"/><Relationship Id="rId43" Type="http://schemas.openxmlformats.org/officeDocument/2006/relationships/image" Target="media/4629fff7f4d90544c6881dfa0ac0b1581647ead4.png"/><Relationship Id="rId44" Type="http://schemas.openxmlformats.org/officeDocument/2006/relationships/image" Target="media/d810a8de8705d486a1cc41f629d6e44a63c29c7d.png"/><Relationship Id="rId45" Type="http://schemas.openxmlformats.org/officeDocument/2006/relationships/image" Target="media/79483e499b773861f736c4797e4f6cc8c65b3a9f.png"/><Relationship Id="rId46" Type="http://schemas.openxmlformats.org/officeDocument/2006/relationships/image" Target="media/30db9ba6696526f51fce71150cb064598929c470.png"/><Relationship Id="rId47" Type="http://schemas.openxmlformats.org/officeDocument/2006/relationships/image" Target="media/6776e5c5d5e3b831d3a6082e34880dd0764b9702.png"/><Relationship Id="rId48" Type="http://schemas.openxmlformats.org/officeDocument/2006/relationships/image" Target="media/6c32e3d1a1d4ea4565596481224b7e392927ea41.png"/><Relationship Id="rId49" Type="http://schemas.openxmlformats.org/officeDocument/2006/relationships/image" Target="media/fb371acf9afb43003bfd5fcfe998ff3f42126817.png"/><Relationship Id="rId50" Type="http://schemas.openxmlformats.org/officeDocument/2006/relationships/image" Target="media/9d7f4f37ccf94ef7fd235868df77621056da952c.png"/><Relationship Id="rId51" Type="http://schemas.openxmlformats.org/officeDocument/2006/relationships/image" Target="media/b6ce42f600e79cb79b0a52817697edfb12996ec6.png"/><Relationship Id="rId52" Type="http://schemas.openxmlformats.org/officeDocument/2006/relationships/image" Target="media/3de57cbd7643d101501353347cd69b5d062abf9e.png"/><Relationship Id="rId53" Type="http://schemas.openxmlformats.org/officeDocument/2006/relationships/image" Target="media/1987ead589840fa585f367b9fb74310fee03f7dd.png"/><Relationship Id="rId54" Type="http://schemas.openxmlformats.org/officeDocument/2006/relationships/image" Target="media/ec94e9494cd10abef6e22a73cddb32ee21ce3b10.png"/><Relationship Id="rId55" Type="http://schemas.openxmlformats.org/officeDocument/2006/relationships/image" Target="media/74b785ab5dc6ff2d7a2669dbff7ca479845d79c7.png"/><Relationship Id="rId56" Type="http://schemas.openxmlformats.org/officeDocument/2006/relationships/image" Target="media/cad639ca5e0bdcd7eee0898b91cc8274ca418bf7.png"/><Relationship Id="rId57" Type="http://schemas.openxmlformats.org/officeDocument/2006/relationships/image" Target="media/b75d7c57b9f5e0f71be8fa7975bc23b67c6f4a4a.png"/><Relationship Id="rId58" Type="http://schemas.openxmlformats.org/officeDocument/2006/relationships/image" Target="media/7640993cad1d25805eb3ec4b6d40d373df297a1b.png"/><Relationship Id="rId59" Type="http://schemas.openxmlformats.org/officeDocument/2006/relationships/image" Target="media/097d9e68442f8586148a911de890f9b42b249cf6.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2026-10-20T00:02:13.088Z</dcterms:created>
  <dcterms:modified xsi:type="dcterms:W3CDTF">2026-10-20T00:02:13.088Z</dcterms:modified>
</cp:coreProperties>
</file>

<file path=docProps/custom.xml><?xml version="1.0" encoding="utf-8"?>
<Properties xmlns="http://schemas.openxmlformats.org/officeDocument/2006/custom-properties" xmlns:vt="http://schemas.openxmlformats.org/officeDocument/2006/docPropsVTypes"/>
</file>