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FCFF in nominal CLP from 30-Jun-26, mid-period convention and each period's WACC (Appendix [Z]). Capex is split into maintenance and IT (5.5% of revenue) and incremental capex (pipeline under way and continuous expansion). Terminal value uses 2032E FCFF with nominal g of 3.0% (0% real: terminal incremental capex is zero because RONIC is below the real WACC) and a terminal WACC of 10.41%, and includes 108,301 m² of GLA maturing after 2031. It explains 78% of EV. Sections D and E break down each line and prove it ties to the DCF.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FIRM FREE CASH FLOW BY PERIOD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886,792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935,616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982,334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1,030,197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707,354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746,336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783,607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821,950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512,875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532,847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540,019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566,987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594,732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(19,360)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(42,195)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(45,466)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(48,592)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(50,783)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(52,766)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(56,661)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pipeline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(130,546)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(247,924)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(155,398)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(46,268)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(95,313)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(98,172)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(101,117)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(104,151)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(3,908)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(9,859)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(9,282)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(9,383)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(7,619)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(7,290)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(4,682)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409,693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540,638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terminal value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86,325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135,701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174,604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283,847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259,780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248,997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4,217,777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1,189,255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4,217,777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1,926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5,407,032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2,469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(1,285,740)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(587)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(50,841)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(23)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4,070,451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2,288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2,176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1,930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1,796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1,722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1,620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1,544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1,590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1,391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7,292,232 MM (implied terminal cap rate 11.3%; implied LTM EV/EBITDA of EV 9.9x). Bloomberg net debt (CLP 1,311,569 MM, used in multiples) differs from net financial debt by IFRS 16 lease liabilities (CLP 25,828 MM at Jun-26). Source: Team analysis; 2,190 MM shares.</w:t>
      </w:r>
    </w:p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BREAKDOWN OF THE DCF LINES (CLP MM UNLESS STATED)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1070"/>
        <w:gridCol w:w="1070"/>
        <w:gridCol w:w="1070"/>
        <w:gridCol w:w="1070"/>
        <w:gridCol w:w="1070"/>
        <w:gridCol w:w="1070"/>
        <w:gridCol w:w="108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Revenue: base + expansion (D1)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(operating engine)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Continuous expansion (cohorts from 2029)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/ Peru / Colombia, calendar year (CLP bn)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498.4 / 131.3 / 75.2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533.9 / 145.2 / 88.1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577.4 / 159.8 / 89.4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619.6 / 171.6 / 92.2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647.9 / 178.6 / 96.8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672.6 / 184.9 / 101.8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Bridge to terminal: + maturation of 108,301 m²; × (1 + 3.0%)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40,818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EBITDA and D&amp;A (D2–D3)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659,160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704,685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736,420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765,088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Expansion EBITDA (margin 80.7%)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9,916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18,519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Chile / Peru / Colombia, calendar year (80/82/74%)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398.7 / 107.7 / 55.7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427.1 / 119.0 / 65.2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461.9 / 131.1 / 66.2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495.7 / 140.7 / 68.2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518.3 / 146.5 / 71.7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538.1 / 151.6 / 75.4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D&amp;A = 0.704% × total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5,817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6,240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6,583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6,912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Tax, capex and working capital (D4–D6)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E4E8F0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288,177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605,962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653,344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701,114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739,752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776,695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814,701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Tax = EBIT × rate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−48,414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−115,133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−140,469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−168,267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−199,733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−209,708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−219,969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(a): pipeline, USD MM × USDCLP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 × 930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 × 923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 × 915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(m²; pipeline and expansion)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43.8%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16.5%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16.2%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16.0%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 / revenue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30.3%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10.8%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10.6%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Δ revenue for working capital (× 15.6%)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25,044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63,180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59,482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60,130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48,824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46,718</w:t>
            </w:r>
          </w:p>
        </w:tc>
        <w:tc>
          <w:tcPr>
            <w:tcW w:type="dxa" w:w="10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30,006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Country revenue from Appendix 13 (calendar year; 0.1 bn precision). 1H26 capex has no breakdown by type: the release only gives the LTM breakdown (USD 132.5m: maintenance 40.0; IT and other 10.2; brownfield 52.5; reconversion 29.1; greenfield 0.7). Yield on cost 7.3%; real RONIC 5.3% vs real WACC 7.2%.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TIE-OUT CHECK (CLP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925"/>
              <w:gridCol w:w="1300"/>
            </w:tblGrid>
            <w:tr>
              <w:trPr>
                <w:tblHeader/>
              </w:trP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Line: breakdown − DCF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Max. |diff.| 2H26E–Terminal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revenue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EBITDA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Operating tax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NOPAT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Total capex (maintenance + incremental)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Working capital investment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FCFF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value / PV of TV / EV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3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Value per share (CLP)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READING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Maximum absolute difference across all lines and periods: 0. The breakdown only reorders the DCF: EV CLP 5,407,032 MM, DCF value CLP 1,859 and target price CLP 2,077. Incremental capex (pipeline + expansion) weighs 38%–36% of revenue in 2H26E–2027E and ~11% from 2029E; maintenance, 5.5%. The terminal only funds maintenance: growing at a real RONIC of 5.3% under a real WACC of 7.2% would subtract value (Figure 30).</w:t>
            </w:r>
          </w:p>
          <w:p>
            <w:pPr>
              <w:shd w:fill="EEF1F6" w:color="auto" w:val="clear"/>
              <w:spacing w:after="4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Terminal value starts from 2031E revenue (982,334), adds the maturation of the expansion already funded (+17,858; the gross mature revenue, 40,818, includes 22,960 already in 2031E) and indexes for inflation (+30,006) to 1,030,197; 2032E FCFF = NOPAT 594,732 + D&amp;A 7,249 − maintenance 56,661 − working capital 4,682 = 540,638.</w:t>
            </w:r>
          </w:p>
        </w:tc>
      </w:tr>
    </w:tbl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PROJECTION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The base forecast follows the team's operating engine with the full dated pipeline (170,200 m², announced pipeline through 2028, including 46,500 m² of other projects in Chile); from 2029 a continuous expansion at the historical opening pace is added. 2026E revenue is calendar-year; the 2H26E period nets out the 1H26 actual (CLP 339,530 MM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PROJECTION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year; the 2H26E column shows full-year 2026E)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826,662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883,482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923,322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959,374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 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3,309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12,294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22,960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45,466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48,592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52,766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140.4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268.7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169.9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247,924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155,398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Incremental capex: continuous expansion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incremental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130,546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294,192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250,711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149,906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336,388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296,177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156,916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New GLA opening in the year (m²)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8,900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72,950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88,350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27,075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MM,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Working capital investment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9,282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9,383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7,619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Release; 2025 Annual Report)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MM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 (from 2027E)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67.2% / 32.8%;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7.3% / 5.3%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incremental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 (real g 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 (LTM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0.704%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prepaid rents (Dec-25,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Terminal nominal g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profit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pBdr>
          <w:bottom w:val="single" w:color="E9004B" w:sz="8" w:space="1"/>
        </w:pBdr>
        <w:spacing w:after="50" w:before="10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DEBT SCHEDULE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Opening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1,285,740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2,457,403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(−) FCFF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88,514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149,981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213,233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382,940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387,084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409,693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Net financial cost,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34,783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40,471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51,959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59,437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UF indexation, after tax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12,676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26,542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30,374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34,168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37,757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42,516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Ordinary dividends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60,108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152,016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171,061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175,311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178,543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176,458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Additional distribution (buyback / special dividend)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96,106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186,689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235,670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412,570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393,865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416,502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Closing net debt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1,382,590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1,632,638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1,896,981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2,182,363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2,457,403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2,742,623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net debt / EBITDA (x)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Closing gross debt (constant cash 347,621)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1,730,211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1,980,259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2,244,602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2,529,984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2,805,024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3,090,244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Net debt(t) = net debt(t−1) − FCFF + financial cost and UF indexation after tax + ordinary dividends + additional distribution, which takes net debt to the target path (2.36x → 3.5x). Financial cost: 3.08% of net debt + 25 bp per turn above 2.36x; UF indexation on 79% of debt at 3.0%. Bond maturities: Figure 6. Source: 2Q26 Release; Dec-25 financials; Team analysis.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We use the same peer set as the WACC beta. LTM EV/EBITDA is the main method (neutral to leverage and to IAS 40 revaluation); the multiple weights the Chilean median 70% and the common-set median 30%. P/E and P/BV mix fair-value and cost-based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MM;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NTM EV/EBITDA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EV/EBIT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P/E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 Malls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LTM EV/EBITDA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NTM EV/EBITDA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EV/EBIT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P/E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2,077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1,917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CLP 544,935 MM = EV 7,825,944 − Bloomberg net debt 1,311,569 − minorities 50,841 = CLP 2,951 per share (2,190 MM shares). Fibra Danhos is excluded because of its FIBRA regime and because it has no beta in the WACC; IRSA reports under IAS 29. Source: Bloomberg; Team analysis.</w:t>
      </w:r>
    </w:p>
    <w:p>
      <w:pPr>
        <w:pBdr>
          <w:bottom w:val="single" w:color="14284B" w:sz="18" w:space="2"/>
        </w:pBdr>
        <w:spacing w:after="80" w:before="20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4"/>
          <w:szCs w:val="14"/>
        </w:rPr>
        <w:t xml:space="preserve">No scenario or alternative method reaches the CLP 3,555 price. Scenarios are computed with the DCF replica (it reproduces the base value exactly) and the target price keeps the 80% DCF weight and the multiples value of CLP 2,951. Bear is everything going wrong at once; bull, everything going right; both use the same levers as the Risks tornado.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00"/>
        <w:gridCol w:w="6266"/>
        <w:gridCol w:w="1100"/>
        <w:gridCol w:w="1200"/>
        <w:gridCol w:w="1000"/>
      </w:tblGrid>
      <w:tr>
        <w:trPr>
          <w:tblHeader/>
        </w:trP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 (all at once)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wrong: nominal WACC +100 bp in all periods; EBITDA margin 75.8%, occupancy 95.1%, same-store rent 2027–28 3.7%, tenant sales 3.7%, 2029–31 real growth at the Note 11 floor, visitors 5.6%, maintenance capex 6.6%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1,190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1,542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−56.6%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Central: model v4; nominal WACC 10.54% → 10.41%; g 3.0%; margin 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Everything goes right: nominal WACC −100 bp; margin 81.3%, occupancy 96.6%, same-store rent 9.4%, tenant sales 9.9%, real growth at the Note 11 ceiling, visitors 17.3%, maintenance capex 4.8%; cash tax capped at 23%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2,915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−18.0%</w:t>
            </w:r>
          </w:p>
        </w:tc>
      </w:tr>
      <w:tr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all periods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2,734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−23.1%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 are illustrative extreme scenarios with no probability assigned: the probability of outcomes is estimated with the simulation in the next section (Figure M1). Source: Team analysis.</w:t>
      </w:r>
    </w:p>
    <w:p>
      <w:pPr>
        <w:pBdr>
          <w:bottom w:val="single" w:color="E9004B" w:sz="8" w:space="1"/>
        </w:pBdr>
        <w:spacing w:after="50" w:before="12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MONTE CARLO SIMULATION: TARGET PRICE DISTRIBUTION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9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00"/>
              <w:gridCol w:w="1500"/>
            </w:tblGrid>
            <w:tr>
              <w:trPr>
                <w:tblHeader/>
              </w:trP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Simulated target price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Mean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2,057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Median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2,047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Standard deviation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168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P5 / P25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1,799 / 1,940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P75 / P95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2,164 / 2,354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≥ CLP 3,555 (price)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≥ CLP 4,111 (consensus)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34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Prob. target &lt; CLP 2,077 (base case)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57.3%</w:t>
                  </w:r>
                </w:p>
              </w:tc>
            </w:tr>
          </w:tbl>
          <w:p>
            <w:pPr>
              <w:spacing w:after="20" w:before="40"/>
            </w:pPr>
            <w:r>
              <w:rPr>
                <w:rFonts w:ascii="Arial" w:cs="Arial" w:eastAsia="Arial" w:hAnsi="Arial"/>
                <w:color w:val="1A1A1A"/>
                <w:sz w:val="13"/>
                <w:szCs w:val="13"/>
              </w:rPr>
              <w:t xml:space="preserve">Contribution to variance (rank correlation): WACC 80.8%; Same-store rent 6.2%; EBITDA margin 6.1%; Nominal g 3.2%.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M1: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Target price distribution in 10,000 simulations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100% of simulations stay below the CLP 3,555 price. Source: Team analysis.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Assumptions: 10,000 iterations, seed 42; triangular distributions (min/base/max, 4Q23–2Q26 extremes of the Risks tornado): EBITDA margin 75.8%/80.6%/81.3%, occupancy 95.1%/95.6%/96.6%, same-store rent 2027–28 3.7%/5.4%/9.4%, tenant sales 3.7%/3.7%/9.9% (0.5 correlation with rent, Gaussian copula; the rest independent), visitors 5.6%/9.8%/17.3%, maintenance + IT capex 4.8%/5.5%/6.6%, nominal g 2.5%/3.0%/4.0%, real growth 2029–31 between the Note 11 floor and ceiling. WACC: normal shift, mean 0, standard deviation 50 bp, truncated at ±150 bp. Tax 27% (no cut to 23%). Target = 80% DCF + 20% fixed multiples (CLP 2,951); with everything at base it reproduces the CLP 1,859 DCF and CLP 2,077 target. Source: Team analysis.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ASSUMPTIONS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Peso-bond Rf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1,883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2,096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−41.0%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7.60%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Net debt/EBITDA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1,820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1,851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1,843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1,835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EFFECT OF EACH LEVER ALONE ON THE DCF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5"/>
              <w:gridCol w:w="900"/>
              <w:gridCol w:w="900"/>
            </w:tblGrid>
            <w:tr>
              <w:trPr>
                <w:tblHeader/>
              </w:trP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Lever (tornado extremes)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Bear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Bull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EBITDA margin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−190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+28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Occupancy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+25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Same-store rent 2027–28 (price)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+183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Real rent growth 2029–31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−47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+37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Visitor traffic 2027–28 (parking)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Tenant sales 2027–28 (variable rent)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+16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WACC ±100 bp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−326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+430</w:t>
                  </w:r>
                </w:p>
              </w:tc>
            </w:tr>
            <w:tr>
              <w:tc>
                <w:tcPr>
                  <w:tcW w:type="dxa" w:w="34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23% tax (bull only)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+136</w:t>
                  </w:r>
                </w:p>
              </w:tc>
            </w:tr>
          </w:tbl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D. ADDITIONAL SENSITIVITIES (OUTSIDE THE BASE CASE)</w:t>
            </w:r>
          </w:p>
          <w:tbl>
            <w:tblPr>
              <w:tblW w:type="dxa" w:w="49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325"/>
              <w:gridCol w:w="600"/>
              <w:gridCol w:w="600"/>
              <w:gridCol w:w="700"/>
              <w:gridCol w:w="700"/>
            </w:tblGrid>
            <w:tr>
              <w:trPr>
                <w:tblHeader/>
              </w:trP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Sensitivity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DCF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 price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Tax by jurisdiction: Peru 29.5%, Colombia 35% (weighted 28.3% vs 27%)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1,807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2,036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−42.7%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at the 1H26 run-rate (0.88% vs 0.704% of revenue)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1,861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+2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2,079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−41.5%</w:t>
                  </w:r>
                </w:p>
              </w:tc>
            </w:tr>
            <w:tr>
              <w:tc>
                <w:tcPr>
                  <w:tcW w:type="dxa" w:w="23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Gran Plaza included: USD 376m at a 9.4% cap rate (order of magnitude)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1,848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−11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2,069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−41.8%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every lever at the historical minimum/maximum of the Risks tornado (4Q23 and 3Q25 earnings releases for margin; Note 11 for long-run real growth) in all years; the bull does not recompute the WACC tax shield. Section D: each year's rate scaled by the EBITDA mix by country (Chile ~70%, Peru ~20%, Colombia ~10%; PwC Tax Summaries, Peru reviewed 13-Jul-26, Colombia 21-Jul-26); Gran Plaza at our implied cap rate (10.1%) − price paid, applying an EBITDA cap rate to an NOI. None changes the recommendation. Source: Team analysis.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analysis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real coupon of the latest UF issue (base case)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(Dec-25) / market cap at CLP 3,610 per share (current structure, CLP bn)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analysis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 Malls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(betas); Team analysis.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 (Figure Z1)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DCF replica matches the WACC calculation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2,323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2,449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2,449,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Team analysis (WACC shifted in every period).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e57cbd7643d101501353347cd69b5d062abf9e.png"/><Relationship Id="rId10" Type="http://schemas.openxmlformats.org/officeDocument/2006/relationships/image" Target="media/1987ead589840fa585f367b9fb74310fee03f7d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2026-10-19T23:58:17.769Z</dcterms:created>
  <dcterms:modified xsi:type="dcterms:W3CDTF">2026-10-19T23:58:17.769Z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