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ageBreakBefore/>
        <w:pBdr>
          <w:bottom w:val="single" w:color="14284B" w:sz="18" w:space="2"/>
        </w:pBdr>
        <w:spacing w:after="80" w:before="0"/>
      </w:pPr>
      <w:r>
        <w:rPr>
          <w:rFonts w:ascii="Arial" w:cs="Arial" w:eastAsia="Arial" w:hAnsi="Arial"/>
          <w:b/>
          <w:bCs/>
          <w:color w:val="14284B"/>
          <w:sz w:val="30"/>
          <w:szCs w:val="30"/>
        </w:rPr>
        <w:t xml:space="preserve">ANEXO [B]: FLUJO DE CAJA DESCONTADO</w:t>
      </w:r>
    </w:p>
    <w:p>
      <w:pPr>
        <w:shd w:fill="EEF1F6" w:color="auto" w:val="clear"/>
        <w:spacing w:after="40" w:line="216" w:lineRule="auto"/>
        <w:jc w:val="both"/>
      </w:pPr>
      <w:r>
        <w:rPr>
          <w:rFonts w:ascii="Arial" w:cs="Arial" w:eastAsia="Arial" w:hAnsi="Arial"/>
          <w:color w:val="1A1A1A"/>
          <w:sz w:val="14"/>
          <w:szCs w:val="14"/>
        </w:rPr>
        <w:t xml:space="preserve">FCFF en CLP nominales desde el 30-jun-26, con convención de mitad de período y la WACC de cada período (Anexo [Z]). El capex se separa en mantención y TI (5,5% de los ingresos) y capex incremental (pipeline en curso y expansión continua). El valor terminal usa el FCFF 2032E con g de 3,0% nominal (0% real: el capex incremental terminal es cero porque el RONIC queda bajo la WACC real) y la WACC terminal de 10,41%, e incluye 108.301 m² de GLA que maduran después de 2031. Explica el 78% del EV. Las secciones D y E desglosan cada línea y prueban que cuadra con el DCF.</w:t>
      </w:r>
    </w:p>
    <w:p>
      <w:pPr>
        <w:pBdr>
          <w:bottom w:val="single" w:color="E9004B" w:sz="8" w:space="1"/>
        </w:pBdr>
        <w:spacing w:after="50" w:before="80"/>
      </w:pPr>
      <w:r>
        <w:rPr>
          <w:rFonts w:ascii="Arial" w:cs="Arial" w:eastAsia="Arial" w:hAnsi="Arial"/>
          <w:b/>
          <w:bCs/>
          <w:color w:val="14284B"/>
          <w:sz w:val="16"/>
          <w:szCs w:val="16"/>
        </w:rPr>
        <w:t xml:space="preserve">A. FLUJO DE CAJA LIBRE DE LA FIRMA POR PERÍODO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1070"/>
        <w:gridCol w:w="1070"/>
        <w:gridCol w:w="1070"/>
        <w:gridCol w:w="1070"/>
        <w:gridCol w:w="1070"/>
        <w:gridCol w:w="1070"/>
        <w:gridCol w:w="108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2S26E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08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Ingresos totales</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364.469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767.179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826.662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886.792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935.616</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982.334</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1.030.197</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EBITDA</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290.741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611.360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659.160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707.354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746.336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783.607</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821.950</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Margen EBITDA</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 de impuesto en caja</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NOPAT</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239.763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490.829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512.875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532.847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540.019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566.987</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594.732</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D&amp;A</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2.565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5.398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5.817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6.240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6.583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6.912</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7.249</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mantención + TI</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(19.360)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(42.195)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(45.466)</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(48.592)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(50.783)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(52.766)</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(56.661)</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pipeline en curso</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(130.546)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(247.924)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(155.398)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expansión continua</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(46.268)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(95.313)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(98.172)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(101.117)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(104.151)</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(3.908)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(9.859)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(9.282)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(9.383)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(7.619)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(4.682)</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FCFF</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88.514</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149.981</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213.233</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382.940</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387.084</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409.693</w:t>
            </w:r>
          </w:p>
        </w:tc>
        <w:tc>
          <w:tcPr>
            <w:tcW w:type="dxa" w:w="108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540.638</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nominal del período</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Factor de descuento (mitad del período)</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0,9753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0,9048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0,8188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0,7412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0,6711</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0,6078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VP del FCFF / del valor terminal</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86.325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135.701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174.604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283.847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259.780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248.997</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4.217.777</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B. DEL VALOR DE EMPRESA AL VALOR POR 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Concepto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CLP MM</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CLP/acción</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VP del FCFF explícito (2S26E–2031E)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1.189.255</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VP del valor terminal</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4.217.777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1.926</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Valor de empresa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5.407.032</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2.469</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Deuda financiera neta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Minoritarios (libro)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Valor del patrimonio / por acción</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4.070.451</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1.859</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C. SENSIBILIDAD DEL VALOR DCF (CLP/ACCIÓN)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2.288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2.176</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2.106</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2.058</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−0 pb</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1.912</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1.859</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1.796</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1.722</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1.741</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1.685</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1.620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1.544</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1.590</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1.533</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1.467</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1.391</w:t>
                  </w:r>
                </w:p>
              </w:tc>
            </w:tr>
          </w:tbl>
          <w:p/>
        </w:tc>
      </w:tr>
    </w:tbl>
    <w:p>
      <w:pPr>
        <w:spacing w:after="0" w:before="10" w:line="216" w:lineRule="auto"/>
      </w:pPr>
      <w:r>
        <w:rPr>
          <w:rFonts w:ascii="Arial" w:cs="Arial" w:eastAsia="Arial" w:hAnsi="Arial"/>
          <w:color w:val="5F5F5F"/>
          <w:sz w:val="11"/>
          <w:szCs w:val="11"/>
        </w:rPr>
        <w:t xml:space="preserve">Valor terminal al 31-dic-31: CLP 7.292.232 MM (cap rate implícito del VT 11,3%; EV/EBITDA UDM implícito del EV 9,9x). La deuda neta de Bloomberg (CLP 1.311.569 MM, usada en múltiplos) difiere de la DFN en los pasivos por arrendamiento NIIF 16 (CLP 25.828 MM a jun-26). Fuente: análisis del equipo; 2.190 MM de acciones.</w:t>
      </w:r>
    </w:p>
    <w:p>
      <w:pPr>
        <w:pBdr>
          <w:bottom w:val="single" w:color="E9004B" w:sz="8" w:space="1"/>
        </w:pBdr>
        <w:spacing w:after="50" w:before="100"/>
      </w:pPr>
      <w:r>
        <w:rPr>
          <w:rFonts w:ascii="Arial" w:cs="Arial" w:eastAsia="Arial" w:hAnsi="Arial"/>
          <w:b/>
          <w:bCs/>
          <w:color w:val="14284B"/>
          <w:sz w:val="16"/>
          <w:szCs w:val="16"/>
        </w:rPr>
        <w:t xml:space="preserve">D. DESGLOSE DE LAS LÍNEAS DEL DCF (CLP MM SALVO INDICACIÓN)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1070"/>
        <w:gridCol w:w="1070"/>
        <w:gridCol w:w="1070"/>
        <w:gridCol w:w="1070"/>
        <w:gridCol w:w="1070"/>
        <w:gridCol w:w="1070"/>
        <w:gridCol w:w="108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2S26E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08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3166"/>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Ingresos: base + expansión (D1)</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Ingresos base (motor operativo)</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364.469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767.179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826.662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883.482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923.322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959.374</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Expansión continua (cohortes desde 2029)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3.309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12.294</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22.960</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 / Perú / Colombia, año calendario (CLP mil MM)</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498,4 / 131,3 / 75,2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533,9 / 145,2 / 88,1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577,4 / 159,8 / 89,4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619,6 / 171,6 / 92,2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647,9 / 178,6 / 96,8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672,6 / 184,9 / 101,8</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Puente al terminal: + maduración 108.301 m²; × (1 + 3,0%)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40.818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30.006</w:t>
            </w:r>
          </w:p>
        </w:tc>
      </w:tr>
      <w:tr>
        <w:tc>
          <w:tcPr>
            <w:tcW w:type="dxa" w:w="3166"/>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EBITDA y D&amp;A (D2–D3)</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EBITDA base</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290.741</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611.360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659.160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704.685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736.420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765.088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EBITDA de la expansión (margen 80,7%)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2.669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9.916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18.519</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EBITDA Chile / Perú / Colombia, año calendario (80/82/74%)</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398,7 / 107,7 / 55,7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427,1 / 119,0 / 65,2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461,9 / 131,1 / 66,2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495,7 / 140,7 / 68,2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518,3 / 146,5 / 71,7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538,1 / 151,6 / 75,4</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D&amp;A = 0,704% × ingresos totales</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2.565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5.398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5.817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6.240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6.583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6.912</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7.249</w:t>
            </w:r>
          </w:p>
        </w:tc>
      </w:tr>
      <w:tr>
        <w:tc>
          <w:tcPr>
            <w:tcW w:type="dxa" w:w="3166"/>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Impuesto, capex y capital de trabajo (D4–D6)</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288.177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605.962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653.344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701.114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739.752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776.695</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814.701</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Impuesto = EBIT × tasa</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−48.414</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−115.133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−140.469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−168.267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−199.733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−209.708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−219.969</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(a): pipeline, USD MM × USDCLP</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140,4 × 930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268,7 × 923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169,9 × 915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GLA nuevo que abre en el año (m²; pipeline y expansión)</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8.900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72.950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88.350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total / ingresos</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43,8%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5,5%</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 ingresos</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10,6%</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Δ ingresos para capital de trabajo (× 15,6%)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25.044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63.180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59.482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60.130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48.824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46.718</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30.006</w:t>
            </w:r>
          </w:p>
        </w:tc>
      </w:tr>
    </w:tbl>
    <w:p>
      <w:pPr>
        <w:spacing w:after="0" w:before="10" w:line="216" w:lineRule="auto"/>
      </w:pPr>
      <w:r>
        <w:rPr>
          <w:rFonts w:ascii="Arial" w:cs="Arial" w:eastAsia="Arial" w:hAnsi="Arial"/>
          <w:color w:val="5F5F5F"/>
          <w:sz w:val="11"/>
          <w:szCs w:val="11"/>
        </w:rPr>
        <w:t xml:space="preserve">Ingresos por país del Anexo 13 (año calendario; precisión 0,1 mil MM). Capex 1S26 sin apertura por tipo: el release solo da la apertura UDM (USD 132,5 MM: mantención 40,0; TI y otros 10,2; brownfield 52,5; reconversión 29,1; greenfield 0,7). Yield on cost 7,3%; RONIC real 5,3% vs WACC real 7,2%.</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E. CONTROL DE CUADRATURA (CLP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925"/>
              <w:gridCol w:w="1300"/>
            </w:tblGrid>
            <w:tr>
              <w:trPr>
                <w:tblHeader/>
              </w:trPr>
              <w:tc>
                <w:tcPr>
                  <w:tcW w:type="dxa" w:w="3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Línea: desglose − DCF</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Máx. |dif.| 2S26E–Terminal</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Ingresos totales</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EBITDA total</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D&amp;A</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Impuesto operacional</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NOPAT</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total (mantención + incremental)</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FCFF</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VP del FCFF</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Valor terminal / VP del VT / EV</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Valor por acción (CLP)</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LECTURA</w:t>
            </w:r>
          </w:p>
          <w:p>
            <w:pPr>
              <w:shd w:fill="EEF1F6" w:color="auto" w:val="clear"/>
              <w:spacing w:after="40" w:line="216" w:lineRule="auto"/>
              <w:jc w:val="both"/>
            </w:pPr>
            <w:r>
              <w:rPr>
                <w:rFonts w:ascii="Arial" w:cs="Arial" w:eastAsia="Arial" w:hAnsi="Arial"/>
                <w:color w:val="1A1A1A"/>
                <w:sz w:val="14"/>
                <w:szCs w:val="14"/>
              </w:rPr>
              <w:t xml:space="preserve">Máxima diferencia absoluta en todas las líneas y períodos: 0. El desglose solo reordena el DCF: EV CLP 5.407.032 MM, valor DCF CLP 1.859 y precio objetivo CLP 2.077. El capex incremental (pipeline + expansión) pesa 38%–36% de los ingresos en 2S26E–2027E y ~11% desde 2029E; la mantención, 5,5%. El terminal solo financia mantención: crecer con un RONIC real de 5,3% bajo una WACC real de 7,2% restaría valor (Figura 30).</w:t>
            </w:r>
          </w:p>
          <w:p>
            <w:pPr>
              <w:shd w:fill="EEF1F6" w:color="auto" w:val="clear"/>
              <w:spacing w:after="40" w:line="216" w:lineRule="auto"/>
              <w:jc w:val="both"/>
            </w:pPr>
            <w:r>
              <w:rPr>
                <w:rFonts w:ascii="Arial" w:cs="Arial" w:eastAsia="Arial" w:hAnsi="Arial"/>
                <w:color w:val="1A1A1A"/>
                <w:sz w:val="14"/>
                <w:szCs w:val="14"/>
              </w:rPr>
              <w:t xml:space="preserve">El valor terminal parte de los ingresos 2031E (982.334), suma la maduración de la expansión ya financiada (+17.858; el ingreso maduro bruto, 40.818, incluye 22.960 ya presentes en 2031E) e indexa por inflación (+30.006) hasta 1.030.197; el FCFF 2032E = NOPAT 594.732 + D&amp;A 7.249 − mantención 56.661 − capital de trabajo 4.682 = 540.638.</w:t>
            </w:r>
          </w:p>
        </w:tc>
      </w:tr>
    </w:tbl>
    <w:p>
      <w:pPr>
        <w:pBdr>
          <w:bottom w:val="single" w:color="14284B" w:sz="18" w:space="2"/>
        </w:pBdr>
        <w:spacing w:after="80" w:before="200"/>
      </w:pPr>
      <w:r>
        <w:rPr>
          <w:rFonts w:ascii="Arial" w:cs="Arial" w:eastAsia="Arial" w:hAnsi="Arial"/>
          <w:b/>
          <w:bCs/>
          <w:color w:val="14284B"/>
          <w:sz w:val="30"/>
          <w:szCs w:val="30"/>
        </w:rPr>
        <w:t xml:space="preserve">ANEXO [C]: SUPUESTOS DE LA PROYECCIÓN</w:t>
      </w:r>
    </w:p>
    <w:p>
      <w:pPr>
        <w:shd w:fill="EEF1F6" w:color="auto" w:val="clear"/>
        <w:spacing w:after="40" w:line="216" w:lineRule="auto"/>
        <w:jc w:val="both"/>
      </w:pPr>
      <w:r>
        <w:rPr>
          <w:rFonts w:ascii="Arial" w:cs="Arial" w:eastAsia="Arial" w:hAnsi="Arial"/>
          <w:color w:val="1A1A1A"/>
          <w:sz w:val="14"/>
          <w:szCs w:val="14"/>
        </w:rPr>
        <w:t xml:space="preserve">El forecast base sigue el motor operativo del equipo con el pipeline completo con fecha (170.200 m², pipeline anunciado hasta 2028, incluidos 46.500 m² de otros proyectos en Chile); desde 2029 se suma una expansión continua al ritmo histórico de apertura. Los ingresos 2026E son año calendario; el período 2S26E descuenta el 1S26 real (CLP 339.530 MM de ingresos).</w:t>
      </w:r>
    </w:p>
    <w:p>
      <w:pPr>
        <w:pBdr>
          <w:bottom w:val="single" w:color="E9004B" w:sz="8" w:space="1"/>
        </w:pBdr>
        <w:spacing w:after="50" w:before="80"/>
      </w:pPr>
      <w:r>
        <w:rPr>
          <w:rFonts w:ascii="Arial" w:cs="Arial" w:eastAsia="Arial" w:hAnsi="Arial"/>
          <w:b/>
          <w:bCs/>
          <w:color w:val="14284B"/>
          <w:sz w:val="16"/>
          <w:szCs w:val="16"/>
        </w:rPr>
        <w:t xml:space="preserve">A. PROYECCIÓN DE INGRESOS, CAPEX Y CAPITAL DE TRABAJO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2S26E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Ingresos base (año calendario; la columna 2S26E muestra 2026E completo)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826.662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883.482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923.322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959.374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Crecimiento de ingresos totales (año calendario)</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Ingresos de la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3.309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12.294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22.960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Margen EBITDA base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 de impuesto en caja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mantención + TI (5,5% de ingresos)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45.466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48.592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50.783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52.766</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proyectos en curso (USD MM)</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140,4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268,7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USDCLP promedio</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proyectos en curso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130.546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247.924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155.398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expansión continua</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total</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130.546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294.192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250.711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Capex total</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149.906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336.388</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296.177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146.764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151.900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156.916</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GLA nuevo que abre en el año (m²)</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8.900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72.950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88.350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Costo por m² de expansión (CLP MM, IPC)</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9.383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7.619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B. EXPANSIÓN CONTINUA</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GLA nuevo por año desde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Base: promedio orgánico 2022, 2023 y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Pipeline en curso (Release 2Q26; Memoria 2025)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USD 613,2 MM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Costo por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Desembolso del capex (desde 2027E)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 en t−2 / 50% en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Rampa de ingresos (año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Mix Chile / Perú; margen EBITDA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67,2% / 32,8%;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Yield on cost / RONIC real después de impuestos</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 / 5,3%</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C. OPERACIÓN, CAPITAL Y VALOR TERMINAL</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Margen EBITDA UDM 2T26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mantención + TI</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5,5% de los ingresos</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terminal</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 (g real 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D&amp;A / ingresos (UDM 2T26)</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0,704%</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Impuesto en caja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Capital de trabajo neto / ingresos (dic-25)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Deudores / arriendos anticipados (dic-25, CLP MM)</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 terminal nominal (real)</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DFN/EBITDA objetivo; Kd real por vuelta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3,5x en 2031; +25 pb</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Payout sobre utilidad distribuible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40%</w:t>
                  </w:r>
                </w:p>
              </w:tc>
            </w:tr>
          </w:tbl>
          <w:p/>
        </w:tc>
      </w:tr>
    </w:tbl>
    <w:p>
      <w:pPr>
        <w:pBdr>
          <w:bottom w:val="single" w:color="E9004B" w:sz="8" w:space="1"/>
        </w:pBdr>
        <w:spacing w:after="50" w:before="100"/>
      </w:pPr>
      <w:r>
        <w:rPr>
          <w:rFonts w:ascii="Arial" w:cs="Arial" w:eastAsia="Arial" w:hAnsi="Arial"/>
          <w:b/>
          <w:bCs/>
          <w:color w:val="14284B"/>
          <w:sz w:val="16"/>
          <w:szCs w:val="16"/>
        </w:rPr>
        <w:t xml:space="preserve">D. CALENDARIO DE LA DEUDA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2S26E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 de apertura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1.285.740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1.382.590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1.632.638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1.896.981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2.182.363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2.457.403</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FCFF</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88.514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149.981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213.233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382.940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387.084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409.693</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Costo financiero neto, después de impuestos</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16.474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34.783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40.471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46.273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51.959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59.437</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Reajuste UF, después de impuestos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12.676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26.542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30.374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34.168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37.757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42.516</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Dividendos ordinarios</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60.108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152.016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171.061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175.311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178.543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176.458</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Distribución adicional (recompra / dividendo extra)</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96.106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186.689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235.670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412.570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393.865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416.502</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DFN de cierre</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1.382.590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1.632.638</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1.896.981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2.182.363</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2.457.403</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2.742.623</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 / EBITDA de cierre (x)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2,67x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2,88x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Deuda bruta de cierre (caja constante 347.621)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1.730.211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1.980.259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2.244.602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2.529.984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2.805.024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3.090.244</w:t>
            </w:r>
          </w:p>
        </w:tc>
      </w:tr>
    </w:tbl>
    <w:p>
      <w:pPr>
        <w:spacing w:after="0" w:before="10" w:line="216" w:lineRule="auto"/>
      </w:pPr>
      <w:r>
        <w:rPr>
          <w:rFonts w:ascii="Arial" w:cs="Arial" w:eastAsia="Arial" w:hAnsi="Arial"/>
          <w:color w:val="5F5F5F"/>
          <w:sz w:val="11"/>
          <w:szCs w:val="11"/>
        </w:rPr>
        <w:t xml:space="preserve">DFN(t) = DFN(t−1) − FCFF + costo financiero y reajuste UF después de impuestos + dividendos ordinarios + distribución adicional, que lleva la DFN a la trayectoria objetivo (2,36x → 3,5x). Costo financiero: 3,08% de la DFN + 25 pb por vuelta sobre 2,36x; reajuste UF sobre 79% de la deuda a 3,0%. Vencimientos de bonos: Figura 6. Fuente: Release 2T26; EEFF dic-25; análisis del equipo.</w:t>
      </w:r>
    </w:p>
    <w:p>
      <w:pPr>
        <w:pageBreakBefore/>
        <w:pBdr>
          <w:bottom w:val="single" w:color="14284B" w:sz="18" w:space="2"/>
        </w:pBdr>
        <w:spacing w:after="80" w:before="0"/>
      </w:pPr>
      <w:r>
        <w:rPr>
          <w:rFonts w:ascii="Arial" w:cs="Arial" w:eastAsia="Arial" w:hAnsi="Arial"/>
          <w:b/>
          <w:bCs/>
          <w:color w:val="14284B"/>
          <w:sz w:val="30"/>
          <w:szCs w:val="30"/>
        </w:rPr>
        <w:t xml:space="preserve">ANEXO [E]: MÚLTIPLOS COMPARABLES</w:t>
      </w:r>
    </w:p>
    <w:p>
      <w:pPr>
        <w:shd w:fill="EEF1F6" w:color="auto" w:val="clear"/>
        <w:spacing w:after="40" w:line="216" w:lineRule="auto"/>
        <w:jc w:val="both"/>
      </w:pPr>
      <w:r>
        <w:rPr>
          <w:rFonts w:ascii="Arial" w:cs="Arial" w:eastAsia="Arial" w:hAnsi="Arial"/>
          <w:color w:val="1A1A1A"/>
          <w:sz w:val="14"/>
          <w:szCs w:val="14"/>
        </w:rPr>
        <w:t xml:space="preserve">Usamos el mismo set de pares que la beta de la WACC. EV/EBITDA UDM es el método principal (neutral al apalancamiento y a la revalorización NIC 40); el múltiplo pondera 70% la mediana chilena y 30% la del set común. P/E y P/BV mezclan pares a valor razonable y a costo: solo referencia. Precio al 30-sep-26; deuda neta Bloomberg y tipo de cambio al 30-jun-26.</w:t>
      </w:r>
    </w:p>
    <w:p>
      <w:pPr>
        <w:pBdr>
          <w:bottom w:val="single" w:color="E9004B" w:sz="8" w:space="1"/>
        </w:pBdr>
        <w:spacing w:after="50" w:before="80"/>
      </w:pPr>
      <w:r>
        <w:rPr>
          <w:rFonts w:ascii="Arial" w:cs="Arial" w:eastAsia="Arial" w:hAnsi="Arial"/>
          <w:b/>
          <w:bCs/>
          <w:color w:val="14284B"/>
          <w:sz w:val="16"/>
          <w:szCs w:val="16"/>
        </w:rPr>
        <w:t xml:space="preserve">A. PARES (CLP MM; MÚLTIPLOS EN VECES)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Empresa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País</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EV/EBITDA NTM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EV/EBIT UDM</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P/E UDM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Cenco Malls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Fibra Danhos (excluida)</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México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Mediana set común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Mediana Chile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Ponderado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B. VALOR POR MÚLTIPLO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Múltiplo</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Ponderado</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Métrica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CLP/acción</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EV/EBITDA UDM (principal)</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EV/EBITDA NTM</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EV/EBIT UDM</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 UDM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C. SENSIBILIDAD A LA PONDERACIÓN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Peso Chile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Múltiplo</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 múlt.</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Precio obj.</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2.146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2.077</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−7,7%</w:t>
                  </w:r>
                </w:p>
              </w:tc>
            </w:tr>
          </w:tbl>
          <w:p/>
        </w:tc>
      </w:tr>
    </w:tbl>
    <w:p>
      <w:pPr>
        <w:spacing w:after="0" w:before="10" w:line="216" w:lineRule="auto"/>
      </w:pPr>
      <w:r>
        <w:rPr>
          <w:rFonts w:ascii="Arial" w:cs="Arial" w:eastAsia="Arial" w:hAnsi="Arial"/>
          <w:color w:val="5F5F5F"/>
          <w:sz w:val="11"/>
          <w:szCs w:val="11"/>
        </w:rPr>
        <w:t xml:space="preserve">Puente: 14,36x × EBITDA UDM CLP 544.935 MM = EV 7.825.944 − deuda neta Bloomberg 1.311.569 − minoritarios 50.841 = CLP 2.951 por acción (2.190 MM de acciones). Fibra Danhos queda fuera por su régimen FIBRA y por no tener beta en la WACC; IRSA reporta bajo NIC 29. Fuente: Bloomberg; análisis del equipo.</w:t>
      </w:r>
    </w:p>
    <w:p>
      <w:pPr>
        <w:pBdr>
          <w:bottom w:val="single" w:color="14284B" w:sz="18" w:space="2"/>
        </w:pBdr>
        <w:spacing w:after="80" w:before="200"/>
      </w:pPr>
      <w:r>
        <w:rPr>
          <w:rFonts w:ascii="Arial" w:cs="Arial" w:eastAsia="Arial" w:hAnsi="Arial"/>
          <w:b/>
          <w:bCs/>
          <w:color w:val="14284B"/>
          <w:sz w:val="30"/>
          <w:szCs w:val="30"/>
        </w:rPr>
        <w:t xml:space="preserve">ANEXO [F]: ESCENARIOS Y ROBUSTEZ</w:t>
      </w:r>
    </w:p>
    <w:p>
      <w:pPr>
        <w:shd w:fill="EEF1F6" w:color="auto" w:val="clear"/>
        <w:spacing w:after="40" w:line="216" w:lineRule="auto"/>
        <w:jc w:val="both"/>
      </w:pPr>
      <w:r>
        <w:rPr>
          <w:rFonts w:ascii="Arial" w:cs="Arial" w:eastAsia="Arial" w:hAnsi="Arial"/>
          <w:color w:val="1A1A1A"/>
          <w:sz w:val="14"/>
          <w:szCs w:val="14"/>
        </w:rPr>
        <w:t xml:space="preserve">Ningún escenario ni método alternativo alcanza el precio de CLP 3.555. Los escenarios se calculan con la réplica del DCF (reproduce exactamente el valor base) y el precio objetivo mantiene el 80% DCF y el valor por múltiplos de CLP 2.951. Bear es todo lo que sale mal a la vez; bull, todo lo que sale bien; ambos con las mismas palancas del tornado de Riesgos.</w:t>
      </w:r>
    </w:p>
    <w:p>
      <w:pPr>
        <w:pBdr>
          <w:bottom w:val="single" w:color="E9004B" w:sz="8" w:space="1"/>
        </w:pBdr>
        <w:spacing w:after="50" w:before="80"/>
      </w:pPr>
      <w:r>
        <w:rPr>
          <w:rFonts w:ascii="Arial" w:cs="Arial" w:eastAsia="Arial" w:hAnsi="Arial"/>
          <w:b/>
          <w:bCs/>
          <w:color w:val="14284B"/>
          <w:sz w:val="16"/>
          <w:szCs w:val="16"/>
        </w:rPr>
        <w:t xml:space="preserve">A. ESCENARIOS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100"/>
        <w:gridCol w:w="6266"/>
        <w:gridCol w:w="1100"/>
        <w:gridCol w:w="1200"/>
        <w:gridCol w:w="1000"/>
      </w:tblGrid>
      <w:tr>
        <w:trPr>
          <w:tblHeader/>
        </w:trPr>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Escenario</w:t>
            </w:r>
          </w:p>
        </w:tc>
        <w:tc>
          <w:tcPr>
            <w:tcW w:type="dxa" w:w="62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Supuestos (todos a la vez)</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DCF (CLP)</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Precio objetivo</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vs precio</w:t>
            </w:r>
          </w:p>
        </w:tc>
      </w:tr>
      <w:tr>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Bear</w:t>
            </w:r>
          </w:p>
        </w:tc>
        <w:tc>
          <w:tcPr>
            <w:tcW w:type="dxa" w:w="62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Todo sale mal: WACC nominal +100 pb en todos los períodos; margen EBITDA 75,8%, ocupación 95,1%, arriendo mismas tiendas 2027–28 3,7%, ventas de locatarios 3,7%, crecimiento real 2029–31 en el piso de la Nota 11, visitas 5,6%, capex de mantención 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1.542</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−56,6%</w:t>
            </w:r>
          </w:p>
        </w:tc>
      </w:tr>
      <w:tr>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Base</w:t>
            </w:r>
          </w:p>
        </w:tc>
        <w:tc>
          <w:tcPr>
            <w:tcW w:type="dxa" w:w="62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Central: modelo v4; WACC nominal 10,54% → 10,41%; g 3,0%; margen 79,7%</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1.859</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2.077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−41,6%</w:t>
            </w:r>
          </w:p>
        </w:tc>
      </w:tr>
      <w:tr>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Bull</w:t>
            </w:r>
          </w:p>
        </w:tc>
        <w:tc>
          <w:tcPr>
            <w:tcW w:type="dxa" w:w="62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Todo sale bien: WACC nominal −100 pb; margen 81,3%, ocupación 96,6%, arriendo mismas tiendas 9,4%, ventas de locatarios 9,9%, crecimiento real en el techo de la Nota 11, visitas 17,3%, capex de mantención 4,8%; impuesto en caja con techo de 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2.906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2.915</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−18,0%</w:t>
            </w:r>
          </w:p>
        </w:tc>
      </w:tr>
      <w:tr>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Tasadores</w:t>
            </w:r>
          </w:p>
        </w:tc>
        <w:tc>
          <w:tcPr>
            <w:tcW w:type="dxa" w:w="62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nominal 8,72% (5,55% real, Nota 11) en todos los períodos</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2.679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2.734</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−23,1%</w:t>
            </w:r>
          </w:p>
        </w:tc>
      </w:tr>
    </w:tbl>
    <w:p>
      <w:pPr>
        <w:spacing w:after="0" w:before="10" w:line="216" w:lineRule="auto"/>
      </w:pPr>
      <w:r>
        <w:rPr>
          <w:rFonts w:ascii="Arial" w:cs="Arial" w:eastAsia="Arial" w:hAnsi="Arial"/>
          <w:color w:val="5F5F5F"/>
          <w:sz w:val="11"/>
          <w:szCs w:val="11"/>
        </w:rPr>
        <w:t xml:space="preserve">Bear y bull son escenarios extremos ilustrativos, sin probabilidad asignada: la probabilidad de los resultados se estima con la simulación de la sección siguiente (Figura M1). Fuente: análisis del equipo.</w:t>
      </w:r>
    </w:p>
    <w:p>
      <w:pPr>
        <w:pBdr>
          <w:bottom w:val="single" w:color="E9004B" w:sz="8" w:space="1"/>
        </w:pBdr>
        <w:spacing w:after="50" w:before="120"/>
      </w:pPr>
      <w:r>
        <w:rPr>
          <w:rFonts w:ascii="Arial" w:cs="Arial" w:eastAsia="Arial" w:hAnsi="Arial"/>
          <w:b/>
          <w:bCs/>
          <w:color w:val="14284B"/>
          <w:sz w:val="16"/>
          <w:szCs w:val="16"/>
        </w:rPr>
        <w:t xml:space="preserve">MONTE CARLO: DISTRIBUCIÓN DEL PRECIO OBJETIVO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900"/>
              <w:tblBorders>
                <w:top w:val="none" w:color="FFFFFF" w:sz="0"/>
                <w:left w:val="none" w:color="FFFFFF" w:sz="0"/>
                <w:bottom w:val="none" w:color="FFFFFF" w:sz="0"/>
                <w:right w:val="none" w:color="FFFFFF" w:sz="0"/>
                <w:insideH w:val="none" w:color="FFFFFF" w:sz="0"/>
                <w:insideV w:val="none" w:color="FFFFFF" w:sz="0"/>
              </w:tblBorders>
            </w:tblPr>
            <w:tblGrid>
              <w:gridCol w:w="3400"/>
              <w:gridCol w:w="1500"/>
            </w:tblGrid>
            <w:tr>
              <w:trPr>
                <w:tblHeader/>
              </w:trPr>
              <w:tc>
                <w:tcPr>
                  <w:tcW w:type="dxa" w:w="3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Precio objetivo simulado (CLP)</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r>
            <w:tr>
              <w:tc>
                <w:tcPr>
                  <w:tcW w:type="dxa" w:w="3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Media</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2.057</w:t>
                  </w:r>
                </w:p>
              </w:tc>
            </w:tr>
            <w:tr>
              <w:tc>
                <w:tcPr>
                  <w:tcW w:type="dxa" w:w="3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Mediana</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2.047</w:t>
                  </w:r>
                </w:p>
              </w:tc>
            </w:tr>
            <w:tr>
              <w:tc>
                <w:tcPr>
                  <w:tcW w:type="dxa" w:w="3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Desviación estándar</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w:t>
                  </w:r>
                </w:p>
              </w:tc>
            </w:tr>
            <w:tr>
              <w:tc>
                <w:tcPr>
                  <w:tcW w:type="dxa" w:w="3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P5 / P25</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1.799 / 1.940</w:t>
                  </w:r>
                </w:p>
              </w:tc>
            </w:tr>
            <w:tr>
              <w:tc>
                <w:tcPr>
                  <w:tcW w:type="dxa" w:w="3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P75 / P95</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2.164 / 2.354</w:t>
                  </w:r>
                </w:p>
              </w:tc>
            </w:tr>
            <w:tr>
              <w:tc>
                <w:tcPr>
                  <w:tcW w:type="dxa" w:w="3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Prob. objetivo ≥ CLP 3.555 (precio)</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r>
            <w:tr>
              <w:tc>
                <w:tcPr>
                  <w:tcW w:type="dxa" w:w="3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Prob. objetivo ≥ CLP 4.111 (consenso)</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r>
            <w:tr>
              <w:tc>
                <w:tcPr>
                  <w:tcW w:type="dxa" w:w="3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Prob. objetivo &lt; CLP 2.077 (caso base)</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57,3%</w:t>
                  </w:r>
                </w:p>
              </w:tc>
            </w:tr>
          </w:tbl>
          <w:p>
            <w:pPr>
              <w:spacing w:after="20" w:before="40"/>
            </w:pPr>
            <w:r>
              <w:rPr>
                <w:rFonts w:ascii="Arial" w:cs="Arial" w:eastAsia="Arial" w:hAnsi="Arial"/>
                <w:color w:val="1A1A1A"/>
                <w:sz w:val="13"/>
                <w:szCs w:val="13"/>
              </w:rPr>
              <w:t xml:space="preserve">Contribución a la varianza (correlación de rangos): WACC 80,8%; Arriendo mismas tiendas 6,2%; Margen EBITDA 6,1%; g nominal 3,2%.</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M1: </w:t>
            </w:r>
            <w:r>
              <w:rPr>
                <w:rFonts w:ascii="Arial" w:cs="Arial" w:eastAsia="Arial" w:hAnsi="Arial"/>
                <w:color w:val="14284B"/>
                <w:sz w:val="14"/>
                <w:szCs w:val="14"/>
              </w:rPr>
              <w:t xml:space="preserve">Distribución del precio objetivo en 10.000 simulaciones</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8764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100% de las simulaciones queda bajo el precio de CLP 3.555. Fuente: análisis del equipo.</w:t>
            </w:r>
          </w:p>
        </w:tc>
      </w:tr>
    </w:tbl>
    <w:p>
      <w:pPr>
        <w:spacing w:after="0" w:before="10" w:line="216" w:lineRule="auto"/>
      </w:pPr>
      <w:r>
        <w:rPr>
          <w:rFonts w:ascii="Arial" w:cs="Arial" w:eastAsia="Arial" w:hAnsi="Arial"/>
          <w:color w:val="5F5F5F"/>
          <w:sz w:val="11"/>
          <w:szCs w:val="11"/>
        </w:rPr>
        <w:t xml:space="preserve">Supuestos: 10.000 iteraciones, semilla 42; distribuciones triangulares (mín/base/máx, extremos 4T23–2T26 del tornado de Riesgos): margen EBITDA 75,8%/80,6%/81,3%, ocupación 95,1%/95,6%/96,6%, arriendo mismas tiendas 2027–28 3,7%/5,4%/9,4%, ventas de locatarios 3,7%/3,7%/9,9% (correlación 0,5 con el arriendo, cópula gaussiana; el resto independiente), visitas 5,6%/9,8%/17,3%, capex de mantención + TI 4,8%/5,5%/6,6%, g nominal 2,5%/3,0%/4,0%, crecimiento real 2029–31 entre piso y techo de la Nota 11. WACC: desplazamiento normal, media 0, desviación 50 pb, truncado en ±150 pb. Impuesto 27% (sin la rebaja a 23%). Objetivo = 80% DCF + 20% múltiplos fijos (CLP 2.951); con todo en su valor base reproduce DCF CLP 1.859 y objetivo CLP 2.077. Fuente: análisis del equipo.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B. MÉTODOS Y SUPUESTOS ALTERNATIVOS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Prueba</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Precio obj.</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vs precio</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APV (Ku 11,11%): valor sin deuda</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1.630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escudos fiscales de la deuda</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 APV por acción</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1.895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2.106</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Rf bono en pesos 5,43% (WACC −107 pb)</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2.449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−31,1%</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DCF VF: WACC constante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1.883</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2.096</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−41,0%</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implícita en el precio: 7,60%</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bl>
          <w:p>
            <w:pPr>
              <w:pBdr>
                <w:bottom w:val="single" w:color="E9004B" w:sz="8" w:space="1"/>
              </w:pBdr>
              <w:spacing w:after="50" w:before="100"/>
            </w:pPr>
            <w:r>
              <w:rPr>
                <w:rFonts w:ascii="Arial" w:cs="Arial" w:eastAsia="Arial" w:hAnsi="Arial"/>
                <w:b/>
                <w:bCs/>
                <w:color w:val="14284B"/>
                <w:sz w:val="16"/>
                <w:szCs w:val="16"/>
              </w:rPr>
              <w:t xml:space="preserve">C. OBJETIVO DE DEUDA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DFN/EBITDA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0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25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50 pb</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2,36x (actual)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1.820</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1.820</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1.820</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1.851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1.843</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1.835</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1.874</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1.859</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1.844</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1.897</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1.849</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EFECTO DE CADA PALANCA SOLA EN EL DCF (CLP/ACCIÓN)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425"/>
              <w:gridCol w:w="900"/>
              <w:gridCol w:w="900"/>
            </w:tblGrid>
            <w:tr>
              <w:trPr>
                <w:tblHeader/>
              </w:trPr>
              <w:tc>
                <w:tcPr>
                  <w:tcW w:type="dxa" w:w="34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Palanca (extremos del tornado)</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Bear</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Bull</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Margen EBITDA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Ocupación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Arriendo en mismas tiendas 2027–28 (precio)</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+183</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Crecimiento real del arriendo 2029–31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−47</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mantención + TI</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−58</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Visitas 2027–28 (parking)</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Ventas de locatarios 2027–28 (renta variable)</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nominal ±100 pb</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+430</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Impuesto 23% (solo bull)</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+136</w:t>
                  </w:r>
                </w:p>
              </w:tc>
            </w:tr>
          </w:tbl>
          <w:p>
            <w:pPr>
              <w:pBdr>
                <w:bottom w:val="single" w:color="E9004B" w:sz="8" w:space="1"/>
              </w:pBdr>
              <w:spacing w:after="50" w:before="100"/>
            </w:pPr>
            <w:r>
              <w:rPr>
                <w:rFonts w:ascii="Arial" w:cs="Arial" w:eastAsia="Arial" w:hAnsi="Arial"/>
                <w:b/>
                <w:bCs/>
                <w:color w:val="14284B"/>
                <w:sz w:val="16"/>
                <w:szCs w:val="16"/>
              </w:rPr>
              <w:t xml:space="preserve">D. SENSIBILIDADES ADICIONALES (FUERA DEL CASO BASE)</w:t>
            </w:r>
          </w:p>
          <w:tbl>
            <w:tblPr>
              <w:tblW w:type="dxa" w:w="4925"/>
              <w:tblBorders>
                <w:top w:val="none" w:color="FFFFFF" w:sz="0"/>
                <w:left w:val="none" w:color="FFFFFF" w:sz="0"/>
                <w:bottom w:val="none" w:color="FFFFFF" w:sz="0"/>
                <w:right w:val="none" w:color="FFFFFF" w:sz="0"/>
                <w:insideH w:val="none" w:color="FFFFFF" w:sz="0"/>
                <w:insideV w:val="none" w:color="FFFFFF" w:sz="0"/>
              </w:tblBorders>
            </w:tblPr>
            <w:tblGrid>
              <w:gridCol w:w="2325"/>
              <w:gridCol w:w="600"/>
              <w:gridCol w:w="600"/>
              <w:gridCol w:w="700"/>
              <w:gridCol w:w="700"/>
            </w:tblGrid>
            <w:tr>
              <w:trPr>
                <w:tblHeader/>
              </w:trPr>
              <w:tc>
                <w:tcPr>
                  <w:tcW w:type="dxa" w:w="23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Sensibilidad</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DCF</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Δ DCF</w:t>
                  </w:r>
                </w:p>
              </w:tc>
              <w:tc>
                <w:tcPr>
                  <w:tcW w:type="dxa" w:w="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Precio obj.</w:t>
                  </w:r>
                </w:p>
              </w:tc>
              <w:tc>
                <w:tcPr>
                  <w:tcW w:type="dxa" w:w="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vs precio</w:t>
                  </w:r>
                </w:p>
              </w:tc>
            </w:tr>
            <w:tr>
              <w:tc>
                <w:tcPr>
                  <w:tcW w:type="dxa" w:w="23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Impuesto por jurisdicción: Perú 29,5%, Colombia 35% (tasa ponderada 28,3% vs 27%)</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1.807</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−52</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2.036</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−42,7%</w:t>
                  </w:r>
                </w:p>
              </w:tc>
            </w:tr>
            <w:tr>
              <w:tc>
                <w:tcPr>
                  <w:tcW w:type="dxa" w:w="23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D&amp;A al run-rate de 1S26 (0,88% vs 0,704% de los ingresos)</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1.861</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w:t>
                  </w:r>
                </w:p>
              </w:tc>
              <w:tc>
                <w:tcPr>
                  <w:tcW w:type="dxa" w:w="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2.079</w:t>
                  </w:r>
                </w:p>
              </w:tc>
              <w:tc>
                <w:tcPr>
                  <w:tcW w:type="dxa" w:w="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−41,5%</w:t>
                  </w:r>
                </w:p>
              </w:tc>
            </w:tr>
            <w:tr>
              <w:tc>
                <w:tcPr>
                  <w:tcW w:type="dxa" w:w="23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Gran Plaza incluida: USD 376 MM a cap rate 9,4% (orden de magnitud)</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1.848</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2.069</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−41,8%</w:t>
                  </w:r>
                </w:p>
              </w:tc>
            </w:tr>
          </w:tbl>
          <w:p/>
        </w:tc>
      </w:tr>
    </w:tbl>
    <w:p>
      <w:pPr>
        <w:spacing w:after="0" w:before="10" w:line="216" w:lineRule="auto"/>
      </w:pPr>
      <w:r>
        <w:rPr>
          <w:rFonts w:ascii="Arial" w:cs="Arial" w:eastAsia="Arial" w:hAnsi="Arial"/>
          <w:color w:val="5F5F5F"/>
          <w:sz w:val="11"/>
          <w:szCs w:val="11"/>
        </w:rPr>
        <w:t xml:space="preserve">Bear y bull: cada palanca en el mínimo/máximo histórico del tornado de Riesgos (Earnings Releases 4Q23 y 3Q25 para el margen; Nota 11 para el crecimiento real de largo plazo) en todos los años; el bull no recalcula el escudo fiscal de la WACC. Sección D: tasa de cada año escalada por la mezcla de EBITDA por país (Chile ~70%, Perú ~20%, Colombia ~10%; PwC Tax Summaries, Perú revisado 13-jul-26, Colombia 21-jul-26); Gran Plaza a nuestro cap rate implícito (10,1%) − precio pagado, con un cap rate sobre EBITDA aplicado a un NOI. Ninguna cambia la recomendación. Fuente: análisis del equipo.</w:t>
      </w:r>
    </w:p>
    <w:p>
      <w:pPr>
        <w:pageBreakBefore/>
        <w:pBdr>
          <w:bottom w:val="single" w:color="14284B" w:sz="18" w:space="2"/>
        </w:pBdr>
        <w:spacing w:after="80" w:before="0"/>
      </w:pPr>
      <w:r>
        <w:rPr>
          <w:rFonts w:ascii="Arial" w:cs="Arial" w:eastAsia="Arial" w:hAnsi="Arial"/>
          <w:b/>
          <w:bCs/>
          <w:color w:val="14284B"/>
          <w:sz w:val="30"/>
          <w:szCs w:val="30"/>
        </w:rPr>
        <w:t xml:space="preserve">ANEXO [Z]: CONSTRUCCIÓN DE LA WACC</w:t>
      </w:r>
    </w:p>
    <w:p>
      <w:pPr>
        <w:shd w:fill="EEF1F6" w:color="auto" w:val="clear"/>
        <w:spacing w:after="60" w:line="228" w:lineRule="auto"/>
        <w:jc w:val="both"/>
      </w:pPr>
      <w:r>
        <w:rPr>
          <w:rFonts w:ascii="Arial" w:cs="Arial" w:eastAsia="Arial" w:hAnsi="Arial"/>
          <w:color w:val="1A1A1A"/>
          <w:sz w:val="16"/>
          <w:szCs w:val="16"/>
        </w:rPr>
        <w:t xml:space="preserve">La WACC se calcula por período: el D/E converge linealmente desde la estructura actual (20,0%) hasta la objetivo (28,5%, DFN/EBITDA 3,5x) en 2031. El Ke se construye en dólares (Rf del Tesoro de EE.UU. + beta re-apalancada × ERP + CRP ponderado por ingresos) y se convierte a pesos con el diferencial de inflación.</w:t>
      </w:r>
    </w:p>
    <w:p>
      <w:pPr>
        <w:spacing w:after="10"/>
        <w:ind w:left="240"/>
      </w:pPr>
      <w:r>
        <w:rPr>
          <w:rFonts w:ascii="Arial" w:cs="Arial" w:eastAsia="Arial" w:hAnsi="Arial"/>
          <w:b/>
          <w:bCs/>
          <w:color w:val="14284B"/>
          <w:sz w:val="14"/>
          <w:szCs w:val="14"/>
        </w:rPr>
        <w:t xml:space="preserve">βL = βU × [1 + (1 − t) × D/E]  (Hamada)</w:t>
      </w:r>
    </w:p>
    <w:p>
      <w:pPr>
        <w:spacing w:after="10"/>
        <w:ind w:left="240"/>
      </w:pPr>
      <w:r>
        <w:rPr>
          <w:rFonts w:ascii="Arial" w:cs="Arial" w:eastAsia="Arial" w:hAnsi="Arial"/>
          <w:b/>
          <w:bCs/>
          <w:color w:val="14284B"/>
          <w:sz w:val="14"/>
          <w:szCs w:val="14"/>
        </w:rPr>
        <w:t xml:space="preserve">Ke USD = Rf + βL × ERP + CRP ponderado</w:t>
      </w:r>
    </w:p>
    <w:p>
      <w:pPr>
        <w:spacing w:after="10"/>
        <w:ind w:left="240"/>
      </w:pPr>
      <w:r>
        <w:rPr>
          <w:rFonts w:ascii="Arial" w:cs="Arial" w:eastAsia="Arial" w:hAnsi="Arial"/>
          <w:b/>
          <w:bCs/>
          <w:color w:val="14284B"/>
          <w:sz w:val="14"/>
          <w:szCs w:val="14"/>
        </w:rPr>
        <w:t xml:space="preserve">Ke CLP = (1 + Ke USD) × (1 + π Chile) / (1 + π EE.UU.) − 1</w:t>
      </w:r>
    </w:p>
    <w:p>
      <w:pPr>
        <w:spacing w:after="10"/>
        <w:ind w:left="240"/>
      </w:pPr>
      <w:r>
        <w:rPr>
          <w:rFonts w:ascii="Arial" w:cs="Arial" w:eastAsia="Arial" w:hAnsi="Arial"/>
          <w:b/>
          <w:bCs/>
          <w:color w:val="14284B"/>
          <w:sz w:val="14"/>
          <w:szCs w:val="14"/>
        </w:rPr>
        <w:t xml:space="preserve">Kd CLP = (1 + Kd real + spread) × (1 + π Chile) − 1</w:t>
      </w:r>
    </w:p>
    <w:p>
      <w:pPr>
        <w:spacing w:after="10"/>
        <w:ind w:left="240"/>
      </w:pPr>
      <w:r>
        <w:rPr>
          <w:rFonts w:ascii="Arial" w:cs="Arial" w:eastAsia="Arial" w:hAnsi="Arial"/>
          <w:b/>
          <w:bCs/>
          <w:color w:val="14284B"/>
          <w:sz w:val="14"/>
          <w:szCs w:val="14"/>
        </w:rPr>
        <w:t xml:space="preserve">WACC = E/V × Ke CLP + D/V × Kd CLP × (1 − t)</w:t>
      </w:r>
    </w:p>
    <w:p>
      <w:pPr>
        <w:pBdr>
          <w:bottom w:val="single" w:color="E9004B" w:sz="8" w:space="1"/>
        </w:pBdr>
        <w:spacing w:after="50" w:before="140"/>
      </w:pPr>
      <w:r>
        <w:rPr>
          <w:rFonts w:ascii="Arial" w:cs="Arial" w:eastAsia="Arial" w:hAnsi="Arial"/>
          <w:b/>
          <w:bCs/>
          <w:color w:val="14284B"/>
          <w:sz w:val="16"/>
          <w:szCs w:val="16"/>
        </w:rPr>
        <w:t xml:space="preserve">A. SUPUESTOS DE MERCADO Y ESTRUCTURA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Fuente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Rf: bono del Tesoro EE.UU. 10 años</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Análisis del equipo</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Prima por riesgo de mercado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Inflación de largo plazo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Meta BCCh</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Inflación de largo plazo EE.UU. (breakeven 10Y)</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 de impuesto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Ley de la Renta</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real: cupón real de la última emisión en UF (caso base)</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Aumento del Kd real por vuelta de DFN/EBITDA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Supuesto del equipo</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DFN/EBITDA inicial (30-06-26) → objetivo</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Release 2Q26; supuesto del equipo</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Deuda bruta (dic-25) / market cap a CLP 3.610 por acción (estructura actual, CLP mil MM)</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1.579 / 7.906</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Análisis del equipo</w:t>
            </w:r>
          </w:p>
        </w:tc>
      </w:tr>
    </w:tbl>
    <w:p>
      <w:pPr>
        <w:pBdr>
          <w:bottom w:val="single" w:color="E9004B" w:sz="8" w:space="1"/>
        </w:pBdr>
        <w:spacing w:after="50" w:before="140"/>
      </w:pPr>
      <w:r>
        <w:rPr>
          <w:rFonts w:ascii="Arial" w:cs="Arial" w:eastAsia="Arial" w:hAnsi="Arial"/>
          <w:b/>
          <w:bCs/>
          <w:color w:val="14284B"/>
          <w:sz w:val="16"/>
          <w:szCs w:val="16"/>
        </w:rPr>
        <w:t xml:space="preserve">B. BETA: PARES DESAPALANCADOS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Empresa</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β apalancada</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Deuda (MM CLP)</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Market cap (MM CLP)</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Impuesto</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β desapalancada</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Cenco Malls</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Mediana (6 pares incluidos)</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0,9428</w:t>
            </w:r>
          </w:p>
        </w:tc>
      </w:tr>
    </w:tbl>
    <w:p>
      <w:pPr>
        <w:spacing w:after="0" w:before="10" w:line="216" w:lineRule="auto"/>
      </w:pPr>
      <w:r>
        <w:rPr>
          <w:rFonts w:ascii="Arial" w:cs="Arial" w:eastAsia="Arial" w:hAnsi="Arial"/>
          <w:color w:val="5F5F5F"/>
          <w:sz w:val="11"/>
          <w:szCs w:val="11"/>
        </w:rPr>
        <w:t xml:space="preserve">Fuente: Bloomberg (betas); análisis del equipo. Costa Verde se excluye porque no está en el set de comparables.</w:t>
      </w:r>
    </w:p>
    <w:p>
      <w:pPr>
        <w:pBdr>
          <w:bottom w:val="single" w:color="E9004B" w:sz="8" w:space="1"/>
        </w:pBdr>
        <w:spacing w:after="50" w:before="140"/>
      </w:pPr>
      <w:r>
        <w:rPr>
          <w:rFonts w:ascii="Arial" w:cs="Arial" w:eastAsia="Arial" w:hAnsi="Arial"/>
          <w:b/>
          <w:bCs/>
          <w:color w:val="14284B"/>
          <w:sz w:val="16"/>
          <w:szCs w:val="16"/>
        </w:rPr>
        <w:t xml:space="preserve">C. RIESGO PAÍS PONDERADO POR INGRESOS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País</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Ponderación (ingresos UDM)</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Aporte</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Perú</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CRP ponderado</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1,41%</w:t>
            </w:r>
          </w:p>
        </w:tc>
      </w:tr>
    </w:tbl>
    <w:p>
      <w:pPr>
        <w:pBdr>
          <w:bottom w:val="single" w:color="E9004B" w:sz="8" w:space="1"/>
        </w:pBdr>
        <w:spacing w:after="50" w:before="140"/>
      </w:pPr>
      <w:r>
        <w:rPr>
          <w:rFonts w:ascii="Arial" w:cs="Arial" w:eastAsia="Arial" w:hAnsi="Arial"/>
          <w:b/>
          <w:bCs/>
          <w:color w:val="14284B"/>
          <w:sz w:val="16"/>
          <w:szCs w:val="16"/>
        </w:rPr>
        <w:t xml:space="preserve">D. WACC POR PERÍODO (Figura Z1)</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Beta re-apalancada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Ke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real (UF) con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después de impuestos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WACC nominal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real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40" w:line="228" w:lineRule="auto"/>
            </w:pPr>
            <w:r>
              <w:rPr>
                <w:rFonts w:ascii="Arial" w:cs="Arial" w:eastAsia="Arial" w:hAnsi="Arial"/>
                <w:b/>
                <w:bCs/>
                <w:color w:val="14284B"/>
                <w:sz w:val="14"/>
                <w:szCs w:val="14"/>
              </w:rPr>
              <w:t xml:space="preserve">Figura Z1: </w:t>
            </w:r>
            <w:r>
              <w:rPr>
                <w:rFonts w:ascii="Arial" w:cs="Arial" w:eastAsia="Arial" w:hAnsi="Arial"/>
                <w:color w:val="14284B"/>
                <w:sz w:val="14"/>
                <w:szCs w:val="14"/>
              </w:rPr>
              <w:t xml:space="preserve">WACC nominal y D/E por período</w:t>
            </w:r>
          </w:p>
          <w:p>
            <w:pPr>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14700"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Control: la réplica del DCF coincide con el cálculo de la WACC (diferencia 0 pb en todos los períodos). Fuente: Damodaran; Bloomberg; BCCh;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40"/>
            </w:pPr>
            <w:r>
              <w:rPr>
                <w:rFonts w:ascii="Arial" w:cs="Arial" w:eastAsia="Arial" w:hAnsi="Arial"/>
                <w:b/>
                <w:bCs/>
                <w:color w:val="14284B"/>
                <w:sz w:val="16"/>
                <w:szCs w:val="16"/>
              </w:rPr>
              <w:t xml:space="preserve">E. ELECCIÓN DE LA TASA LIBRE DE RIESGO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Alternativa</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Base del modelo: Rf EE.UU. + CRP Chile, en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Bono en pesos 10 años BCCh (30-06-26)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Diferencia</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137 pb</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Efecto en la WACC terminal (diferencia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 pb</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Valor DCF con el bono en pesos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2.323</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Precio objetivo 80/20 en ese caso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2.449</w:t>
                  </w:r>
                </w:p>
              </w:tc>
            </w:tr>
          </w:tbl>
          <w:p>
            <w:pPr>
              <w:spacing w:after="0" w:before="80" w:line="216" w:lineRule="auto"/>
              <w:jc w:val="both"/>
            </w:pPr>
            <w:r>
              <w:rPr>
                <w:rFonts w:ascii="Arial" w:cs="Arial" w:eastAsia="Arial" w:hAnsi="Arial"/>
                <w:color w:val="1A1A1A"/>
                <w:sz w:val="14"/>
                <w:szCs w:val="14"/>
              </w:rPr>
              <w:t xml:space="preserve">Por qué UST + CRP y no el bono en pesos: el bono local ya incluye el riesgo Chile, y sumarle el CRP lo contaría dos veces; además, un 28% de los ingresos viene de Perú y Colombia, cuyo riesgo se agrega con el CRP ponderado.</w:t>
            </w:r>
          </w:p>
          <w:p>
            <w:pPr>
              <w:spacing w:after="0" w:before="30" w:line="216" w:lineRule="auto"/>
              <w:jc w:val="both"/>
            </w:pPr>
            <w:r>
              <w:rPr>
                <w:rFonts w:ascii="Arial" w:cs="Arial" w:eastAsia="Arial" w:hAnsi="Arial"/>
                <w:color w:val="1A1A1A"/>
                <w:sz w:val="14"/>
                <w:szCs w:val="14"/>
              </w:rPr>
              <w:t xml:space="preserve">Es la elección más conservadora: con el bono en pesos el precio objetivo sube a ~CLP 2.449, todavía 31% bajo el precio de CLP 3.555. La recomendación no cambia.</w:t>
            </w:r>
          </w:p>
          <w:p>
            <w:pPr>
              <w:spacing w:after="0" w:before="30" w:line="216" w:lineRule="auto"/>
              <w:jc w:val="both"/>
            </w:pPr>
            <w:r>
              <w:rPr>
                <w:rFonts w:ascii="Arial" w:cs="Arial" w:eastAsia="Arial" w:hAnsi="Arial"/>
                <w:color w:val="5F5F5F"/>
                <w:sz w:val="11"/>
                <w:szCs w:val="11"/>
              </w:rPr>
              <w:t xml:space="preserve">Fuente: BCCh, Informativo Diario 2-jul-26; análisis del equipo (WACC desplazada en todos los períodos).</w:t>
            </w:r>
          </w:p>
        </w:tc>
      </w:tr>
    </w:tbl>
    <w:sectPr>
      <w:headerReference w:type="default" r:id="rId7"/>
      <w:footerReference w:type="default" r:id="rId8"/>
      <w:pgSz w:w="11906" w:h="16838" w:orient="portrait"/>
      <w:pgMar w:top="1000" w:right="620" w:bottom="900" w:left="620" w:header="45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8a9ef8986cb6684d5666023944591edcf15a73a.png"/><Relationship Id="rId10" Type="http://schemas.openxmlformats.org/officeDocument/2006/relationships/image" Target="media/b37f9670dd9b87d723848d2dd6de478ef16272e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2026-10-19T23:58:16.666Z</dcterms:created>
  <dcterms:modified xsi:type="dcterms:W3CDTF">2026-10-19T23:58:16.666Z</dcterms:modified>
</cp:coreProperties>
</file>

<file path=docProps/custom.xml><?xml version="1.0" encoding="utf-8"?>
<Properties xmlns="http://schemas.openxmlformats.org/officeDocument/2006/custom-properties" xmlns:vt="http://schemas.openxmlformats.org/officeDocument/2006/docPropsVTypes"/>
</file>