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 center operator in the Andean region: 37 centers and 2.36 million m² of GLA in Chile, Peru and Colombia, with revenue almost as predictable as a bond (81.4% rents, 93% fixed and UF-indexed in Chile) and an 80.5% EBITDA margin. It is a great business, but at CLP 3,555 the market prices it as if its cash flows were nearly risk-free. Weighting our DCF at 80% and peer multiples at 20%, we reach a target price of CLP 2,076 and recommend SELL. Our disagreement with the market is not about cash flows but about the discount rate: the price requires a 7.56% WACC, 285 bp below our 10.41%, and a 6.0% cap rate against the 10.1% implied by our cash flows. Growth does not rescue the price, because each new m² earns a 5.0% real return against a 7.2% real WACC, and neither the bull case (CLP 2,627) nor the appraisers' rate (CLP 2,719) reaches the share price. The main risk to the thesis is a further compression of long-term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1190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906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however, remains the same as at inception: leasing m². Rent accounts for 81.4% of last-twelve-months (LTM) revenue, with the remainder coming from parking, commercial services and advertising. Because 93% of that rent is fixed and, in Chile, indexed to the UF, revenue is highly predictable, and the company also manages to grow it in real terms. In Chile, same-store rent (SSR) rose 6.5% LTM versus CPI of 4.3%, without straining its tenants, as rent represents only 9.9% of their sales (occupancy cost), nearly unchanged from a year earlier (9.7%). Nor is this an isolated good year: between 1Q23 and 2Q26, Chile SSR averaged 6.9% against inflation of 4.8%.</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tenant mix the company has successfully reinvented.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such as supermarkets, home improvement, public services and healthcare, which drive high-frequency visits, and another 21.5% to specialty retail. No single tenant dominates revenue: the top five tenants account for 18% and related parties for 15.7%. Add to this a lean cost structure, with cost of sales at 6.2% of revenue and administrative expenses at 13.9%, which leaves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growth story is written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Fragmentation is greatest in Colombia, where most shopping centers are strata-titled (multi-owner), which forces professional operators to grow by acquiring single-owner assets, as Mallplaza did with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IN LINE WITH CONSUMPTION, WITH PRESSURE IN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6.7% of its current GLA; this figure excludes offices and multifamily, which do not depend on consumption, as well as acquisitions, which merely change ownership. Over the same period, the Central Bank of Chile projects cumulative private consumption growth of 6.4% (Figure 3), so new supply is advancing practically in line with expected demand. The timing, however, is uneven: 2026 adds almost no space (+0.2%), and pressure is concentrated in 2027 and 2028, when supply (+2.9% and +3.5%) outpaces consumption (+2.1% and +2.7%).</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tbl>
      <w:tblPr>
        <w:tblpPr w:leftFromText="0" w:rightFromText="0" w:topFromText="0" w:bottomFromText="0" w:tblpX="7116" w:tblpY="100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val="false"/>
        <w:spacing w:after="60" w:before="0" w:line="228" w:lineRule="auto"/>
        <w:ind w:right="3766"/>
        <w:jc w:val="both"/>
      </w:pPr>
      <w:r>
        <w:rPr>
          <w:rFonts w:ascii="Arial" w:cs="Arial" w:eastAsia="Arial" w:hAnsi="Arial"/>
          <w:b/>
          <w:bCs/>
          <w:i w:val="false"/>
          <w:iCs w:val="false"/>
          <w:color w:val="14284B"/>
          <w:sz w:val="16"/>
          <w:szCs w:val="16"/>
        </w:rPr>
        <w:t xml:space="preserve">Rivalry (4)</w:t>
      </w:r>
      <w:r>
        <w:rPr>
          <w:rFonts w:ascii="Arial" w:cs="Arial" w:eastAsia="Arial" w:hAnsi="Arial"/>
          <w:i w:val="false"/>
          <w:iCs w:val="false"/>
          <w:color w:val="1A1A1A"/>
          <w:sz w:val="16"/>
          <w:szCs w:val="16"/>
        </w:rPr>
        <w:t xml:space="preserve"> is played out not on price but on experience and assets.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TURNS ITS SCALE INTO THE MOST PRODUCTIVE M² OF THE TRIO</w:t>
      </w:r>
    </w:p>
    <w:tbl>
      <w:tblPr>
        <w:tblpPr w:leftFromText="0" w:rightFromText="0" w:topFromText="0" w:bottomFromText="0" w:tblpX="7116" w:tblpY="42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55,738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tbl>
      <w:tblPr>
        <w:tblpPr w:leftFromText="0" w:rightFromText="0" w:topFromText="0" w:bottomFromText="0" w:tblpX="7116" w:tblpY="82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outpace consumption in 2027-2028,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ESG approach cuts across all of its organizational decisions, with the aim of developing its business model in accordance with ESG parameters and thereby contributing to sustainable development, which gives it the opportunity to access financial benefits both from external sources and from its own operations. Regarding compliance with these parameters, Bloomberg rates the company at 3.39 points, below the global industry average (5–6 points) and below its direct competitors in Chile (Figure 7); however, this is offset by the company's “green” profile at the local level, as it ranks among the leading real estate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As for operational benefits, the implementation of an ISO 50001-certified energy management system (EnMS) translates into better energy performance and, consequently, lower operating costs. The opportunities to access local external benefits are tied to the company's ESG image: in Chile, under the R&amp;D Law (CORFO), Plaza can obtain up to a 55% reduction in first-category corporate income tax; Peru recognizes the company with 2 out of 4 stars under “Huella de Carbono Perú”, which strengthens the company's image and makes it easier to obtain permits and licenses in the country; and Colombia has Law 2099 of 2021, which allows income tax deductions for investments in environmental control, conservation and improvement.</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to achieve efficient, sustainable and circular operational management based on continuous improvement in environmental performance. To this end, it has set three strategic focus areas on ESG parameters: energy and water efficiency, carbon footprint, and waste management. Plaza's main objective is to achieve carbon neutrality, targeting Net Zero in direct and indirect emissions by 2035 (65.6% progress in 2025). </w:t>
      </w:r>
      <w:r>
        <w:rPr>
          <w:rFonts w:ascii="Arial" w:cs="Arial" w:eastAsia="Arial" w:hAnsi="Arial"/>
          <w:b/>
          <w:bCs/>
          <w:i w:val="false"/>
          <w:iCs w:val="false"/>
          <w:color w:val="14284B"/>
          <w:sz w:val="16"/>
          <w:szCs w:val="16"/>
        </w:rPr>
        <w:t xml:space="preserve">Sustainability indices:</w:t>
      </w:r>
      <w:r>
        <w:rPr>
          <w:rFonts w:ascii="Arial" w:cs="Arial" w:eastAsia="Arial" w:hAnsi="Arial"/>
          <w:i w:val="false"/>
          <w:iCs w:val="false"/>
          <w:color w:val="1A1A1A"/>
          <w:sz w:val="16"/>
          <w:szCs w:val="16"/>
        </w:rPr>
        <w:t xml:space="preserve"> The company is included in the DJSI Chile and DJSI MILA, and is the only real estate company in South America to be part of MSCI ESG, with a “BBB” rating, which gives it exposure to ETFs. In addition, it has received the following recognitions: S&amp;P Global Sustainability Yearbook; Morningstar Sustainalytics assigns it a risk rating of 14.4; and Huella de Carbono Perú (2/4 stars), which supports its ESG image.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aims to reduce the energy intensity of common-area expenses by 22% by 2035 (35.5% progress in 2025; Figure 8). The electricity efficiency target is for 100% to come from renewable energy by 2026 (89.3% progress). In 2025, the annual ratio was 0.16 MWh/m² (Energy/GLA), of which 0.14 was renewable and 0.014 non-renewable (Figure 9).</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It set the goal of reducing direct water consumption by 30% by 2025, which was 100.9% achieved, influenced by its LEED and EDGE certifications. In 2025, the annual ratio was 0.77 m³/m² (Water/GLA) and 0.66 m³/m² monthly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It set the goal of eliminating 100% of HCFC use by 2030 (14.9% progress in 2025), which is vital for GHG emissions management, an area in which Bloomberg recognizes Plaza as a global industry Leader.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Plaza set a target of 60% recovery of waste generated in 2025 (94.8% progress; Figure 9 and Appendix 8, Figure 8.4), and also seeks to divert 75% of solid waste from landfills by 2027. It reports having eliminated 97% of single-use plastics from its operations. </w:t>
      </w:r>
      <w:r>
        <w:rPr>
          <w:rFonts w:ascii="Arial" w:cs="Arial" w:eastAsia="Arial" w:hAnsi="Arial"/>
          <w:b/>
          <w:bCs/>
          <w:i w:val="false"/>
          <w:iCs w:val="false"/>
          <w:color w:val="14284B"/>
          <w:sz w:val="16"/>
          <w:szCs w:val="16"/>
        </w:rPr>
        <w:t xml:space="preserve">Climate management:</w:t>
      </w:r>
      <w:r>
        <w:rPr>
          <w:rFonts w:ascii="Arial" w:cs="Arial" w:eastAsia="Arial" w:hAnsi="Arial"/>
          <w:i w:val="false"/>
          <w:iCs w:val="false"/>
          <w:color w:val="1A1A1A"/>
          <w:sz w:val="16"/>
          <w:szCs w:val="16"/>
        </w:rPr>
        <w:t xml:space="preserve"> Plaza adopts the TCFD recommendations to integrate physical and transition risks, together with environmental due diligence on asset acquisitions, under an environmental compliance program aligned with ISO 14001 and monitored by the sustainability committee.</w:t>
      </w:r>
    </w:p>
    <w:tbl>
      <w:tblPr>
        <w:tblpPr w:leftFromText="0" w:rightFromText="0" w:topFromText="0" w:bottomFromText="0" w:tblpX="7116" w:tblpY="-47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tbl>
      <w:tblPr>
        <w:tblpPr w:leftFromText="0" w:rightFromText="0" w:topFromText="0" w:bottomFromText="0" w:tblpX="7116" w:tblpY="-20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12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company approaches the social dimension through a model focused on long-term ethical relationships, as a principle of shared value creation that places the people in its stakeholder groups at the center of its strategy, aligned with ISO 45001 and ILO guidelines; in 2025 it incorporated the risk detection and response program of its human rights policy. In this way, Plaza manages its stakeholders by ensuring transparent engagement, using mechanisms such as community dialogues and materiality assessments (Appendix 8, Figure 8.3), and remains alert to any social incident through its integrity hotline. It is also ranked 31st out of 385 by CADEM in “Marcas Ciudadanas” (“Citizen Brands”), winning the “Shopping Centers” category (2026). Regarding employees, they receive training and even have access to specific programs for those nearing retirement (Appendix 8, section 5); in addition, the company evaluates its suppliers using sustainability criteria (55.3% of regional suppliers and 38.4% of foreign suppliers). Plaza manages its relationship with its customers (tenants) through a relationship model focused on value proposition and experience, measuring their satisfaction through NPS, which rose to 13% in 2025 (Figure 10). To manage emergencies, each center has emergency manuals adapted to local geographic contexts and conducts drills to prevent incidents and educate the community (52 drills were conducted in 2025); regarding privacy, Plaza implemented ISO/IEC 27001, ensuring the confidentiality, integrity and availability of information against cyber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diversity, women represent 53.2% of the total workforce and hold 42% of management positions (Figure 10), and there is an average gender pay gap of 28% at the regional level. The target for 2028 is for 60% of the properties to be certified as inclusive spaces; in addition, Plaza obtained the “Sello Mayor” (“Senior Seal”), a distinction that certifies physical and operational adaptation for older adults.</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tbl>
      <w:tblPr>
        <w:tblpPr w:leftFromText="0" w:rightFromText="0" w:topFromText="0" w:bottomFromText="0" w:tblpX="7116" w:tblpY="2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aligned with the CMF's NCG 461; all of this seeks transparent management with risk control and a solid structure to monitor the corporate strategy and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In 2025, the Board, composed of 9 members (only one of whom is classified as independent; Figure 11 and Appendix 8, Figure 8.2), is responsible for defining Plaza's objectives, strategies and policies, while the directors' committee (composed of 3 members) reviews the balance sheets and financial statements, thereby mitigating agency risks. Together, both bodies oversee the risk management led by the executive team committee and the CEO. In the second half of 2025, CEO Fernando de Peña Iver submitted his resignation, effective at year-end, and Pablo Pulido Sierra took over the position in 2026. </w:t>
      </w:r>
      <w:r>
        <w:rPr>
          <w:rFonts w:ascii="Arial" w:cs="Arial" w:eastAsia="Arial" w:hAnsi="Arial"/>
          <w:b/>
          <w:bCs/>
          <w:i w:val="false"/>
          <w:iCs w:val="false"/>
          <w:color w:val="14284B"/>
          <w:sz w:val="16"/>
          <w:szCs w:val="16"/>
        </w:rPr>
        <w:t xml:space="preserve">Shareholders:</w:t>
      </w:r>
      <w:r>
        <w:rPr>
          <w:rFonts w:ascii="Arial" w:cs="Arial" w:eastAsia="Arial" w:hAnsi="Arial"/>
          <w:i w:val="false"/>
          <w:iCs w:val="false"/>
          <w:color w:val="1A1A1A"/>
          <w:sz w:val="16"/>
          <w:szCs w:val="16"/>
        </w:rPr>
        <w:t xml:space="preserve"> Plaza has a concentrated control model, as it is controlled by Falabella S.A. through its subsidiary Desarrollos Inmobiliarios SpA (53.05% of the shares; Appendix 8, Figure 8.1). Minority shareholders holding 1% are entitled to propose director candidates, and the shareholders are the highest body, responsible for appointing the Board and external auditors and approving dividend policies. </w:t>
      </w:r>
      <w:r>
        <w:rPr>
          <w:rFonts w:ascii="Arial" w:cs="Arial" w:eastAsia="Arial" w:hAnsi="Arial"/>
          <w:b/>
          <w:bCs/>
          <w:i w:val="false"/>
          <w:iCs w:val="false"/>
          <w:color w:val="14284B"/>
          <w:sz w:val="16"/>
          <w:szCs w:val="16"/>
        </w:rPr>
        <w:t xml:space="preserve">Ethics, audit and control:</w:t>
      </w:r>
      <w:r>
        <w:rPr>
          <w:rFonts w:ascii="Arial" w:cs="Arial" w:eastAsia="Arial" w:hAnsi="Arial"/>
          <w:i w:val="false"/>
          <w:iCs w:val="false"/>
          <w:color w:val="1A1A1A"/>
          <w:sz w:val="16"/>
          <w:szCs w:val="16"/>
        </w:rPr>
        <w:t xml:space="preserve"> The ethical framework is supported by the integrity code and the crime prevention model, which together provide a guide for the organization's conduct. In addition, Plaza operates the Autocompliance platform to record meetings with public officials and manage gifts and invitations, along with a confidential integrity hotline for reporting irregularities without risk to the whistleblower. Under the supervision of the directors' committee, a control model is in place, with an internal audit reported monthly to the committee that monitors corrective actions; in parallel, the committee must appoint external auditors and credit rating agencies to analyze the company, as well as have the financial statements audited by independent auditors. Regarding sanctions at the regional level in 2025, Plaza has no antitrust or corruption sanctions, but it has 27 sanctions related to customer/consumer rights, 2 related to workers' rights, 1 from the Superintendency of the Environment and 8 for workplace/sexual harassment (Appendix 8, section 3).</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116" w:tblpY="12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12). About two-thirds of Chile's 29% uplift came from a lower appraisal discount rate, not from higher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the highest of the three local peers on a comparable basis (Appendix 14). FFO, which we rebuild from the statements to within 0.02% of the reported CLP 405bn (Figure 13),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tbl>
      <w:tblPr>
        <w:tblpPr w:leftFromText="0" w:rightFromText="0" w:topFromText="0" w:bottomFromText="0" w:tblpX="7116" w:tblpY="20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1H26 reported growth of 7.4% falls to about 3.0% real (Figure 14).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operating leverage is spent</w:t>
      </w:r>
    </w:p>
    <w:tbl>
      <w:tblPr>
        <w:tblpPr w:leftFromText="0" w:rightFromText="0" w:topFromText="0" w:bottomFromText="0" w:tblpX="7116" w:tblpY="56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21907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907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0.7pp.</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have already fallen from 23.8% of revenue in 2023 to 20.1% in 2025 (Appendix 11), so there is little left for the margin to gain: from here, EBITDA grows with rents, not with efficiency.</w:t>
      </w:r>
    </w:p>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the ceiling is policy, not liquidity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15).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18).</w:t>
      </w:r>
    </w:p>
    <w:tbl>
      <w:tblPr>
        <w:tblpPr w:leftFromText="0" w:rightFromText="0" w:topFromText="0" w:bottomFromText="0" w:tblpX="711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2076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764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16). Cash-flow metrics are the honest lens and support Feller Rate's upgrade to AAA (25 September 2026): net debt/EBITDA fell from 3.78x to 2.36x on June 2026 LTM EBITDA (the 2024 figure includes only one month of Peru), and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17); refinancing series S (1.32% effective) at the latest issue's 4.33% would add about CLP 4.9bn a year. Liquidity is ample: at June 2026 the current ratio was 2.50x and cash covered current liabilities 1.71x.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13). At 3.5x the new AAA would likely come under pressure.</w:t>
      </w:r>
    </w:p>
    <w:tbl>
      <w:tblPr>
        <w:tblpPr w:leftFromText="0" w:rightFromText="0" w:topFromText="0" w:bottomFromText="0" w:tblpX="7116" w:tblpY="79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18);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9). New GLA yields 6.9% on cost, a 5.0% real return after tax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Mallplaza earns the highest normalized ROE of its local peers (9.7% against 7.8% at Parque Arauco and 8.0% at Cencosud Shopping) with an LTV of only 18.8% (Appendix 14).</w:t>
      </w:r>
    </w:p>
    <w:tbl>
      <w:tblPr>
        <w:tblpPr w:leftFromText="0" w:rightFromText="0" w:topFromText="0" w:bottomFromText="0" w:tblpX="7116" w:tblpY="60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After the pipeline, expansion keeps capex near CLP 150bn a year while leverage rebuilds to 3.5x</w:t>
            </w:r>
          </w:p>
          <w:p>
            <w:pPr>
              <w:keepNext w:val="false"/>
              <w:spacing w:after="20" w:before="0" w:line="240" w:lineRule="auto"/>
              <w:jc w:val="center"/>
            </w:pPr>
            <w:r>
              <w:drawing>
                <wp:inline distT="0" distB="0" distL="0" distR="0">
                  <wp:extent cx="13716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7160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spent in 1H26; 2024A leverage includes one month of Peru EBITDA. Source: Plaza S.A. financial statements (CMF); 2Q26 results release (pipeline); valuation base case (Appendices 9 and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Third, the return on capital at fair value is low. 2025 ROIC, with NOPAT at 27% over invested capital at appraised value, was 7.3% (Appendix 11),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A PRICE NO METHOD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19).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ind w:right="3766"/>
        <w:jc w:val="both"/>
      </w:pPr>
      <w:r>
        <w:rPr>
          <w:rFonts w:ascii="Arial" w:cs="Arial" w:eastAsia="Arial" w:hAnsi="Arial"/>
          <w:i w:val="false"/>
          <w:iCs w:val="false"/>
          <w:color w:val="1A1A1A"/>
          <w:sz w:val="16"/>
          <w:szCs w:val="16"/>
        </w:rPr>
        <w:t xml:space="preserve">Figure 19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free cash flow to the firm in nominal CLP from 30-Jun-26, with an explicit horizon to 2031E and a terminal value that accounts for 76% of EV (Appendix 15). The CLP 1,857 per share is CLP 583 of explicit cash flows and CLP 1,884 of terminal value, less CLP 610 of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19).</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Here the first signal appears: at CLP 3,555, equity yields ~4.4% real, just 80 bp above the company's own real cost of debt (Figure 20). The market is pricing the stock almost as if it were a bond.</w:t>
      </w:r>
    </w:p>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tbl>
      <w:tblPr>
        <w:tblpPr w:leftFromText="0" w:rightFromText="0" w:topFromText="0" w:bottomFromText="0" w:tblpX="7116" w:tblpY="18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8478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478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21). These are assumptions the team can defend line by line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22). Assuming more growth would not close the gap with the price; it would widen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SIZE</w:t>
      </w:r>
    </w:p>
    <w:tbl>
      <w:tblPr>
        <w:tblpPr w:leftFromText="0" w:rightFromText="0" w:topFromText="0" w:bottomFromText="0" w:tblpX="7116" w:tblpY="91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No method justifies the current price (CLP per share)</w:t>
            </w:r>
          </w:p>
          <w:p>
            <w:pPr>
              <w:keepNext w:val="false"/>
              <w:spacing w:after="20" w:before="0" w:line="240" w:lineRule="auto"/>
              <w:jc w:val="center"/>
            </w:pPr>
            <w:r>
              <w:drawing>
                <wp:inline distT="0" distB="0" distL="0" distR="0">
                  <wp:extent cx="21907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907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52-week intraday range (1-Oct-25 to 30-Sep-26; low 10-Oct-25, high 27-Apr-26).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23).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24): multiples confirm the stock is expensive, and the DCF sets the size of the gap. We exclude P/E (CLP 8,644), distorted by property revaluation.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6.0% cap rate, against 10.1% in our DCF, 6.4% for Chilean peers and 7.5% at book value (Figure 25). The market pays 1.61x an equity base already at fair value, appraised at a ~5.55% real rate (Note 11): it pays more than the appraisers themselves. To justify CLP 3,555, the WACC would have to be 285 bp lower (Figure 26); even at the appraisers' rate, the DCF would be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pushed the thesis to its extremes. In a bear case (WACC +100 bp and the 75.8% quarterly-low margin) the target falls to CLP 1,713; in a bull case combining WACC −100 bp, g of 2.5%, the 81.3% quarterly-peak margin and the cut in corporate tax to 23%, it rises to CLP 2,627, still 26% below the price. APV (CLP 1,894), a peso-bond Rf (~CLP 2,439) and other debt targets (DCF of CLP 1,819 to 1,894) lead to the same conclusion (Appendix 18).</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At CLP 3,555 equity yields almost the same as debt</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(30-Jun-26); Mallplaza;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the peso bond (5.43%) and then adding country risk would count Chile risk twice, and even so the target price would only rise to ~CLP 2,439, 31% below the price. In other words, no reasonable choice of inputs rescues the current valuation; the gap is too wide to be a modelling artefact.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Working capital: an assumption that does not move the price (±1.2%)</w:t>
            </w:r>
          </w:p>
          <w:p>
            <w:pPr>
              <w:keepNext w:val="false"/>
              <w:spacing w:after="20" w:before="0" w:line="240" w:lineRule="auto"/>
              <w:jc w:val="center"/>
            </w:pPr>
            <w:r>
              <w:drawing>
                <wp:inline distT="0" distB="0" distL="0" distR="0">
                  <wp:extent cx="325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5755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financial statements;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8575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g. Bottom: relative terminal value by RONIC. Source: Team analysis.</w:t>
            </w:r>
          </w:p>
        </w:tc>
      </w:tr>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26003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600325"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 UF (Central Bank of Chile) and NTN-B 2035 (8.08%) at 30-Jun-26. Spread = cap rate (1 / EV/EBITDA) − real bond. IRSA omitted (IAS 29). Source: Bloomberg; Central Bank of Chile;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Value implied by each peer's multiple vs DCF and price (CLP per share)</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 80% DCF + 20% EV/EBITDA LTM. P/E excluded (includes revaluation). Source: Bloomberg (30-Sep-26); Team analysis.</w:t>
            </w:r>
          </w:p>
        </w:tc>
      </w:tr>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The market pays 6.0%; our cash flows are worth 10.1%</w:t>
            </w:r>
          </w:p>
          <w:p>
            <w:pPr>
              <w:keepNext w:val="false"/>
              <w:spacing w:after="20" w:before="0" w:line="240" w:lineRule="auto"/>
              <w:jc w:val="center"/>
            </w:pPr>
            <w:r>
              <w:drawing>
                <wp:inline distT="0" distB="0" distL="0" distR="0">
                  <wp:extent cx="33147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14700" cy="21526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subsequent event, not in the model. Source: Mallplaza; Bloomberg; DF;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price requires a WACC 285 bp lower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27 classifies each risk by likelihood and by its impact on value per share (Figures 28 to 26). Risks that could not be quantified are classified according to the team's qualitative analysis of the company.</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28).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28).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29).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slightly positive: indexed rents add CLP 40.8 per share and the higher UF debt subtracts 17.7, a net +23.1 (+1.1%) (Figure 30). The risk is that weaker consumption prevents passing the UF through to rents: without that pass-through, UF +3% takes 0.9% off the target price.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28).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low and high of each driver: Mallplaza earnings releases 4Q23–2Q26 (EBITDA margin, occupancy, same-store rent and sales, visitors) and financial statements (maintenance capex 2024 and LTM 2Q26; appraisal growth range, Note 11). Terminal WACC 10.41% and g 3.0% held constant. Source: Mallplaza;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to a rise in the UF (CLP per share)</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UF level shock from 2027E; WACC and g constant. Debt: net UF exposure from Note 26. Earnings: +3% reported; +1% and +2% extrapolated. Source: financial statements Jun-26, Note 26; Team analysis.</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INVESTMENT SUMMARY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TO BE WRITTEN</w:t>
                  </w:r>
                </w:p>
                <w:p>
                  <w:pPr>
                    <w:keepNext w:val="false"/>
                    <w:spacing w:after="60"/>
                  </w:pPr>
                  <w:r>
                    <w:rPr>
                      <w:rFonts w:ascii="Arial" w:cs="Arial" w:eastAsia="Arial" w:hAnsi="Arial"/>
                      <w:i/>
                      <w:iCs/>
                      <w:color w:val="5F5F5F"/>
                      <w:sz w:val="16"/>
                      <w:szCs w:val="16"/>
                    </w:rPr>
                    <w:t xml:space="preserve">Recommendation and target price · Investment thesis · Valuation summary · Catalysts · Key risks.</w:t>
                  </w:r>
                </w:p>
                <w:p>
                  <w:pPr>
                    <w:keepNext w:val="false"/>
                    <w:spacing w:after="60"/>
                  </w:pPr>
                  <w:r>
                    <w:rPr>
                      <w:rFonts w:ascii="Arial" w:cs="Arial" w:eastAsia="Arial" w:hAnsi="Arial"/>
                      <w:i/>
                      <w:iCs/>
                      <w:color w:val="5F5F5F"/>
                      <w:sz w:val="16"/>
                      <w:szCs w:val="16"/>
                    </w:rPr>
                    <w:t xml:space="preserve">Section to be written by the team; the key data on the right already come from the models.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cap (CLP bn)</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52-week range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Expected dividend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Net debt / LTM EBITDA 2Q26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Source: valuation model v2; Bloomberg (52-week range); Team analysis.</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3: </w:t>
            </w:r>
            <w:r>
              <w:rPr>
                <w:rFonts w:ascii="Arial" w:cs="Arial" w:eastAsia="Arial" w:hAnsi="Arial"/>
                <w:color w:val="14284B"/>
                <w:sz w:val="14"/>
                <w:szCs w:val="14"/>
              </w:rPr>
              <w:t xml:space="preserve">GLA pipeline 2026-2028: organic vs acquisitions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2Q26 reports and 2025 Annual Report; Parque Arauco Investor Presentation 2Q26; Cenco Malls Corporate Presentation 2Q26. Dated projects only.</w:t>
            </w:r>
          </w:p>
          <w:p>
            <w:pPr>
              <w:keepNext w:val="false"/>
              <w:keepLines/>
              <w:spacing w:after="20" w:before="90" w:line="240" w:lineRule="auto"/>
            </w:pPr>
            <w:r>
              <w:rPr>
                <w:rFonts w:ascii="Arial" w:cs="Arial" w:eastAsia="Arial" w:hAnsi="Arial"/>
                <w:b/>
                <w:bCs/>
                <w:color w:val="14284B"/>
                <w:sz w:val="14"/>
                <w:szCs w:val="14"/>
              </w:rPr>
              <w:t xml:space="preserve">Appendix 5: </w:t>
            </w:r>
            <w:r>
              <w:rPr>
                <w:rFonts w:ascii="Arial" w:cs="Arial" w:eastAsia="Arial" w:hAnsi="Arial"/>
                <w:color w:val="14284B"/>
                <w:sz w:val="14"/>
                <w:szCs w:val="14"/>
              </w:rPr>
              <w:t xml:space="preserve">Market share within the trio in Chile, 2Q22-2Q26 (% of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4: </w:t>
            </w:r>
            <w:r>
              <w:rPr>
                <w:rFonts w:ascii="Arial" w:cs="Arial" w:eastAsia="Arial" w:hAnsi="Arial"/>
                <w:color w:val="14284B"/>
                <w:sz w:val="14"/>
                <w:szCs w:val="14"/>
              </w:rPr>
              <w:t xml:space="preserve">Consolidated occupancy rate, 2Q22-2Q26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2Q22-2Q26 earnings reports of the three companies. Each company defines occupancy differently; Mallplaza includes Open Plaza since 2Q25.</w:t>
            </w:r>
          </w:p>
        </w:tc>
      </w:tr>
    </w:tbl>
    <w:p>
      <w:pPr>
        <w:keepNext w:val="false"/>
        <w:spacing w:after="30" w:before="140" w:line="228" w:lineRule="auto"/>
      </w:pPr>
      <w:r>
        <w:rPr>
          <w:rFonts w:ascii="Arial" w:cs="Arial" w:eastAsia="Arial" w:hAnsi="Arial"/>
          <w:b/>
          <w:bCs/>
          <w:color w:val="14284B"/>
          <w:sz w:val="14"/>
          <w:szCs w:val="14"/>
        </w:rPr>
        <w:t xml:space="preserve">Appendix 6: </w:t>
      </w:r>
      <w:r>
        <w:rPr>
          <w:rFonts w:ascii="Arial" w:cs="Arial" w:eastAsia="Arial" w:hAnsi="Arial"/>
          <w:color w:val="14284B"/>
          <w:sz w:val="14"/>
          <w:szCs w:val="14"/>
        </w:rPr>
        <w:t xml:space="preserve">Porter's five forces by country and key evidence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Key evidence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Rivalry</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race to reinvest in experience; asset acquisitions (Minka, Plaza Central; Quilín and Chicureo announced); supply above consumption in 2027-28. Stable shares and margins of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New entrants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Capital-intensive (USD 613 million for 170,200 m² at Mallplaza); incumbents' land banks; Peru and Colombia less concentrated; most malls in Colombia are strata-titled (multi-owner).</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tenants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average lease terms of 5.0-8.7 years; top 5 = 18% of Mallplaza revenue; Chile SSR above CPI (6.9% vs 4.8%, 1Q23-2Q26); department stores 19.0% of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Bargaining power of suppliers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Common-area expenses passed through to tenants (2025 Annual Report, note 2.20); cost of sales 6.2% of Mallplaza revenue.</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Substitutes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 rental income is fixed; 2Q26 visits +4.4% Chile, +1.3% Peru, +2.5% Colombia; shift toward experience. No official e-commerce data by country.</w:t>
            </w:r>
          </w:p>
        </w:tc>
      </w:tr>
    </w:tbl>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1-5 scale in whole numbers; final score = weighted average by Mallplaza GLA as of 2Q26 (Chile 61.9%, Peru 26.2%, Colombia 11.9%), rounded to the nearest integer. For new entrants, the weighted score sits at the threshold (1.5) and the team sets it at 2 given lower barriers to entry in Peru and Colombia. Detail and sources for each data point in Porter_industria_2Q26.xlsx.</w:t>
      </w:r>
    </w:p>
    <w:p>
      <w:pPr>
        <w:keepNext w:val="false"/>
        <w:spacing w:after="30" w:before="140" w:line="228" w:lineRule="auto"/>
      </w:pPr>
      <w:r>
        <w:rPr>
          <w:rFonts w:ascii="Arial" w:cs="Arial" w:eastAsia="Arial" w:hAnsi="Arial"/>
          <w:b/>
          <w:bCs/>
          <w:color w:val="14284B"/>
          <w:sz w:val="14"/>
          <w:szCs w:val="14"/>
        </w:rPr>
        <w:t xml:space="preserve">Appendix 7: </w:t>
      </w:r>
      <w:r>
        <w:rPr>
          <w:rFonts w:ascii="Arial" w:cs="Arial" w:eastAsia="Arial" w:hAnsi="Arial"/>
          <w:color w:val="14284B"/>
          <w:sz w:val="14"/>
          <w:szCs w:val="14"/>
        </w:rPr>
        <w:t xml:space="preserve">Key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across the main operators in each country (slide 7, Institutional Presentation 2Q26). Partial HHI: it is a floor.</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projects with dates in official reports as of 2Q26 and the 2025 Annual Report; for date ranges, the end of the range is used; acquisitions are not new supply for the industry.</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consumption-dependent m² (excludes offices and multifamily); base GLA excludes Cenco's offices. Private consumption from the Sep-2026 IPoM is used as a demand indicator, not as a sales forecast.</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as defined by each company (none includes IAS 40 revaluation gains); 2Q26 EBITDA not annualized; consolidated GLA at 100% of controlled assets.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Leases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term weighted by GLA: explicit for Cenco and in Parque Arauco's profile; assumption for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tenant sales 2Q26 vs 2Q25 deflated by 12-month CPI as of June 2026 (4.3%; INE, release dated July 8, 2026). Cenco 2Q25 calculated from its published change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June 30, 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Breaches of laws and regulations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Driver</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Leases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Midpoints of company appraisal ranges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Colombia 97.5% flat;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back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projects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Post-2028 expansion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 year opening from 2029E (55% Chile / 45% Peru); USD 3,603/m² indexed to CPI, spent 50% in t−2 and 50% in t−1; 80.9% EBITDA margin; 6.9% yield on cost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Average organic GLA 2022, 2023, 2025; pipeline cost per 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year-end 2026–28; purchasing-power parity thereafter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 Oct 2026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of revenue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 rate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shields run off</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Project capex</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445m remaining at Jun-26, spread to final opening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FS Dec-25, first year-end with full Peru</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 / EBITDA 2.36x (Jun-26) → 3.5x by Dec-31E, linear; cash above the plan returned via buybacks or special dividends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of leverage above 2.36x; UF indexation on 79% of debt</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0.7m LTM vs 55.2m in 2023), Gran Plaza; undated Chile projects replaced by the post-2028 expansion</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No date or immaterial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one-year lag, plus the additional distributions above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results release; Bloomberg ECFC;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gains &amp;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Net income attributable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attributable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assets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Equity attributable to owners</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Equity issued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FY2025 − 1H25 + 1H26. 2024 as restated in Dec-25; 2022A from restated Dec-23 statements; 2022 financing lines not in the files used. Source: Plaza S.A. financial statements (CMF) Dec-24, Dec-25,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IC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 property)</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Receivable days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Jun-26 leverage on LTM EBITDA; operating costs = cost of sales + admin (1H26). Dec-24 receivable days n.m. (Peru consolidated one month). Jun-26 returns need the Jun-25 balance sheet. Source: Plaza S.A. financial statements (CMF); MD&amp;A 1H26; Team analysis.</w:t>
            </w:r>
          </w:p>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fair-value gains are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income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(mostly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adjusted</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fair-value gains and is not used. Source: Plaza S.A. financial statements (CMF), Notes 23.1–23.3; 2Q26 release;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post-2028 expansion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maintenance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post-2028 expansion</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capex includes CLP 84.2bn spent in 1H26; Δ working capital and additional distributions cover 2H26E only. FFO = (EBITDA − net financial cost) × (1 − cash tax), before minorities (~1%); distributable profit = FFO − UF indexation. Source: valuation workbook v2 (DCF, Deuda and Expansion sheets); Team analysis.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Like-for-like, Mallplaza earns the highest normalized ROE of its local peers (FY2025)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Fair-value gain / opening property</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attributable, YE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normalized on audited distributable profit; peers on net income − fair-value gains × (1 − 27%). Parque Arauco property excludes JVs, overstating its LTV. Source: Plaza S.A. financial statements (CMF); Bloomberg FA as-reported (PARAUCO CI, CENCOMAL CI; export 28 Sep 2026);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5"/>
          <w:szCs w:val="15"/>
        </w:rPr>
        <w:t xml:space="preserve">FCFF in nominal CLP from 30-Jun-26, with the mid-period convention and each period's WACC (Appendix 19). Terminal value uses 2032E FCFF with 3.0% nominal g (0% real, no reinvestment because RONIC is below the real WACC) and the 10.41% terminal WACC, and includes 108,301 m² of GLA maturing after 2031. It accounts for 76% of EV.</w:t>
      </w:r>
    </w:p>
    <w:p>
      <w:pPr>
        <w:keepNext w:val="false"/>
        <w:pBdr>
          <w:bottom w:val="single" w:color="E9004B" w:sz="8" w:space="1"/>
        </w:pBdr>
        <w:spacing w:after="50" w:before="80"/>
      </w:pPr>
      <w:r>
        <w:rPr>
          <w:rFonts w:ascii="Arial" w:cs="Arial" w:eastAsia="Arial" w:hAnsi="Arial"/>
          <w:b/>
          <w:bCs/>
          <w:color w:val="14284B"/>
          <w:sz w:val="16"/>
          <w:szCs w:val="16"/>
        </w:rPr>
        <w:t xml:space="preserve">A. FREE CASH FLOW TO THE FIRM BY PERIOD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capex (pipeline + maintenance)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capex / terminal reinvestment</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of terminal value</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million</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7,133,037 million (implied cap rate 10.1%; implied LTM EV/EBITDA 9.9x). 2H26E: half year. Source: model v2, DCF and Sensibilidad sheets; 2,190 million shares.</w:t>
      </w:r>
    </w:p>
    <w:p>
      <w:pPr>
        <w:keepNext w:val="false"/>
        <w:pBdr>
          <w:bottom w:val="single" w:color="14284B" w:sz="18" w:space="2"/>
        </w:pBdr>
        <w:spacing w:after="80" w:before="260"/>
      </w:pPr>
      <w:r>
        <w:rPr>
          <w:rFonts w:ascii="Arial" w:cs="Arial" w:eastAsia="Arial" w:hAnsi="Arial"/>
          <w:b/>
          <w:bCs/>
          <w:color w:val="14284B"/>
          <w:sz w:val="30"/>
          <w:szCs w:val="30"/>
        </w:rPr>
        <w:t xml:space="preserve">APPENDIX 16: FORECAST ASSUMPTIONS</w:t>
      </w:r>
    </w:p>
    <w:p>
      <w:pPr>
        <w:keepNext w:val="false"/>
        <w:shd w:fill="EEF1F6" w:color="auto" w:val="clear"/>
        <w:spacing w:after="40" w:line="216" w:lineRule="auto"/>
        <w:jc w:val="both"/>
      </w:pPr>
      <w:r>
        <w:rPr>
          <w:rFonts w:ascii="Arial" w:cs="Arial" w:eastAsia="Arial" w:hAnsi="Arial"/>
          <w:color w:val="1A1A1A"/>
          <w:sz w:val="15"/>
          <w:szCs w:val="15"/>
        </w:rPr>
        <w:t xml:space="preserve">The base forecast follows the team's operating engine (announced pipeline to 2028); from 2029 a continuous expansion is added at the historical opening pace. 2026E revenue is calendar-year; the 2H26E period deducts actual 1H26 (CLP 339,530 million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FORECAST (CLP MILLION)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 (USD million)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on projects under way</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base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Continuous-expansion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million,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Investment in working capital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Basis: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million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in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advance rents (Dec-25, CLP million)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(real) terminal g</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income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Source: model v2, Forecast_Base, Expansion, Capital_Trabajo and Supuestos sheets (2Q26 release; Dec-25 financial statements; Exhibits v6).</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5"/>
          <w:szCs w:val="15"/>
        </w:rPr>
        <w:t xml:space="preserve">We use the same peer set as the WACC beta. LTM EV/EBITDA is the main method (neutral to leverage and to IAS 40 revaluation); the multiple weights the Chilean median at 70% and the common-set median at 30%. P/E and P/BV mix fair-value and cost-basis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MILLION;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LTM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LTM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LTM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mn)</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LTM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LTM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LTM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of CLP 544,935 million = EV 7,825,944 − Bloomberg net debt 1,311,569 − minorities 50,841 = CLP 2,951 per share (2,190 million shares). Fibra Danhos is excluded for its FIBRA regime and because it has no beta in the WACC; IRSA reports under IAS 29. Source: Bloomberg; model v2, Comparables and Precio_Objetivo sheets;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5"/>
          <w:szCs w:val="15"/>
        </w:rPr>
        <w:t xml:space="preserve">No scenario or alternative method reaches the CLP 3,555 price. Scenarios are computed with the DCF v2 replica (which reproduces the base value exactly), and the target keeps the 80% DCF weight and the CLP 2,951 multiples value.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in every period; EBITDA margin 75.8% (historical low) instead of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 v2: WACC 10.54% → 10.41%; g 3.0%; margin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bp; g 2.5%; margin 81.3% (historical high); cash tax capped at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every period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INPUTS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peso bond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ND/EBITDA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and bull: EBITDA margin at the historical low/high (4Q23 and 3Q25 earnings releases) in every year; the bull case does not recompute the WACC tax shield. Source: DCF v2 replica (riesgos/graficos/tornado_operacional.py); model v2,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24-year high (since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28–30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a 24-year high;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+2.4% of value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2,076 to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db1c1e9ee808458ab9cd8f7987298a2c28ac32b.png"/><Relationship Id="rId12" Type="http://schemas.openxmlformats.org/officeDocument/2006/relationships/image" Target="media/b2b2d7c7efb3f30eb3d2f36989cfa14f2029adbe.png"/><Relationship Id="rId13" Type="http://schemas.openxmlformats.org/officeDocument/2006/relationships/image" Target="media/3e0d5cd7410072f621125f9466a47538b8484785.png"/><Relationship Id="rId14" Type="http://schemas.openxmlformats.org/officeDocument/2006/relationships/image" Target="media/930b12feb78c2a7223e3994135daa5f82e020ffe.png"/><Relationship Id="rId15" Type="http://schemas.openxmlformats.org/officeDocument/2006/relationships/image" Target="media/97008b1080de62d6fb081f52664a91d418d7934e.png"/><Relationship Id="rId16" Type="http://schemas.openxmlformats.org/officeDocument/2006/relationships/image" Target="media/c38872059cd5731903c2ad5041f07c8d4699b365.png"/><Relationship Id="rId17" Type="http://schemas.openxmlformats.org/officeDocument/2006/relationships/image" Target="media/ded5e1657640e653c8c5f59f77745d6d262bbdba.png"/><Relationship Id="rId18" Type="http://schemas.openxmlformats.org/officeDocument/2006/relationships/image" Target="media/9186d6d0fd41b9f3fd8c32d4b6b821345cc10ac1.png"/><Relationship Id="rId19" Type="http://schemas.openxmlformats.org/officeDocument/2006/relationships/image" Target="media/326703e0e66ff70cff5e7cdedeeb00baa383a9ec.png"/><Relationship Id="rId20" Type="http://schemas.openxmlformats.org/officeDocument/2006/relationships/image" Target="media/9570f91f852c6c39aad8d6f047dd2c1bef9ac37e.png"/><Relationship Id="rId21" Type="http://schemas.openxmlformats.org/officeDocument/2006/relationships/image" Target="media/addbc14aaf283e21f2e2e3b805c1e7edd232d409.png"/><Relationship Id="rId22" Type="http://schemas.openxmlformats.org/officeDocument/2006/relationships/image" Target="media/34cf5efedec970dddabf7ad7f0397fa946dde7af.png"/><Relationship Id="rId23" Type="http://schemas.openxmlformats.org/officeDocument/2006/relationships/image" Target="media/67d3af205c0720abae927a295402b8173067a71d.png"/><Relationship Id="rId24" Type="http://schemas.openxmlformats.org/officeDocument/2006/relationships/image" Target="media/0ecdedf336d9450fef0f4340e7d2f3445bf5d5ea.png"/><Relationship Id="rId25" Type="http://schemas.openxmlformats.org/officeDocument/2006/relationships/image" Target="media/100e719272ccd251c35d82999c2cbfdfab008b96.png"/><Relationship Id="rId26" Type="http://schemas.openxmlformats.org/officeDocument/2006/relationships/image" Target="media/0e8de6046ea8cf465c51ece1e2db1d0fdb7f5b9e.png"/><Relationship Id="rId27" Type="http://schemas.openxmlformats.org/officeDocument/2006/relationships/image" Target="media/fbaa45cc822c3cf6d5ceb7547cdd01441f6bb8f4.png"/><Relationship Id="rId28" Type="http://schemas.openxmlformats.org/officeDocument/2006/relationships/image" Target="media/614c883e6f2b898c089b825413644af7dee880dd.png"/><Relationship Id="rId29" Type="http://schemas.openxmlformats.org/officeDocument/2006/relationships/image" Target="media/a62342d9ec50c46f4e7f430f13c67905c743e7ce.png"/><Relationship Id="rId30" Type="http://schemas.openxmlformats.org/officeDocument/2006/relationships/image" Target="media/a98ec5db30a9b2fae58f506a01267ad00c0545c0.png"/><Relationship Id="rId31" Type="http://schemas.openxmlformats.org/officeDocument/2006/relationships/image" Target="media/8328ba562cddad3f672e3301050fb517a3b5f8aa.png"/><Relationship Id="rId32" Type="http://schemas.openxmlformats.org/officeDocument/2006/relationships/image" Target="media/30cb8469be326b2ca7bbe97b9caa7e1c4842f99d.png"/><Relationship Id="rId33" Type="http://schemas.openxmlformats.org/officeDocument/2006/relationships/image" Target="media/11ae97cbbba07ae07141e02f3be12fcfb32209b4.png"/><Relationship Id="rId34" Type="http://schemas.openxmlformats.org/officeDocument/2006/relationships/image" Target="media/d40688d44987d578c4578ea19e236ca614ea843a.png"/><Relationship Id="rId35" Type="http://schemas.openxmlformats.org/officeDocument/2006/relationships/image" Target="media/b3e445c9f34a4a944fb280d19258017788441bf7.png"/><Relationship Id="rId36" Type="http://schemas.openxmlformats.org/officeDocument/2006/relationships/image" Target="media/67c8ea2a55c01eaf39a5b555e17932328157a3b1.png"/><Relationship Id="rId37" Type="http://schemas.openxmlformats.org/officeDocument/2006/relationships/image" Target="media/f93973cef37e97655b8f2ee6a16d436dc31b144b.png"/><Relationship Id="rId38" Type="http://schemas.openxmlformats.org/officeDocument/2006/relationships/image" Target="media/622cee3aa81df98e2bbcd50166634b878e8dd818.png"/><Relationship Id="rId39" Type="http://schemas.openxmlformats.org/officeDocument/2006/relationships/image" Target="media/cf58b765b7de8ff377687c2671163528a8e708f3.png"/><Relationship Id="rId40" Type="http://schemas.openxmlformats.org/officeDocument/2006/relationships/image" Target="media/c59b24049313dff36dc84ade4dcb2534413819d0.png"/><Relationship Id="rId41" Type="http://schemas.openxmlformats.org/officeDocument/2006/relationships/image" Target="media/4629fff7f4d90544c6881dfa0ac0b1581647ead4.png"/><Relationship Id="rId42" Type="http://schemas.openxmlformats.org/officeDocument/2006/relationships/image" Target="media/d810a8de8705d486a1cc41f629d6e44a63c29c7d.png"/><Relationship Id="rId43" Type="http://schemas.openxmlformats.org/officeDocument/2006/relationships/image" Target="media/30db9ba6696526f51fce71150cb064598929c470.png"/><Relationship Id="rId44" Type="http://schemas.openxmlformats.org/officeDocument/2006/relationships/image" Target="media/79483e499b773861f736c4797e4f6cc8c65b3a9f.png"/><Relationship Id="rId45" Type="http://schemas.openxmlformats.org/officeDocument/2006/relationships/image" Target="media/6776e5c5d5e3b831d3a6082e34880dd0764b9702.png"/><Relationship Id="rId46" Type="http://schemas.openxmlformats.org/officeDocument/2006/relationships/image" Target="media/6c32e3d1a1d4ea4565596481224b7e392927ea41.png"/><Relationship Id="rId47" Type="http://schemas.openxmlformats.org/officeDocument/2006/relationships/image" Target="media/fb371acf9afb43003bfd5fcfe998ff3f42126817.png"/><Relationship Id="rId48" Type="http://schemas.openxmlformats.org/officeDocument/2006/relationships/image" Target="media/9d7f4f37ccf94ef7fd235868df77621056da952c.png"/><Relationship Id="rId49" Type="http://schemas.openxmlformats.org/officeDocument/2006/relationships/image" Target="media/1987ead589840fa585f367b9fb74310fee03f7dd.png"/><Relationship Id="rId50" Type="http://schemas.openxmlformats.org/officeDocument/2006/relationships/image" Target="media/a1a01b45d6be15873163d7f4df2b5d1388d71092.png"/><Relationship Id="rId51" Type="http://schemas.openxmlformats.org/officeDocument/2006/relationships/image" Target="media/74b785ab5dc6ff2d7a2669dbff7ca479845d79c7.png"/><Relationship Id="rId52" Type="http://schemas.openxmlformats.org/officeDocument/2006/relationships/image" Target="media/cad639ca5e0bdcd7eee0898b91cc8274ca418bf7.png"/><Relationship Id="rId53" Type="http://schemas.openxmlformats.org/officeDocument/2006/relationships/image" Target="media/b75d7c57b9f5e0f71be8fa7975bc23b67c6f4a4a.png"/><Relationship Id="rId54" Type="http://schemas.openxmlformats.org/officeDocument/2006/relationships/image" Target="media/7640993cad1d25805eb3ec4b6d40d373df297a1b.png"/><Relationship Id="rId55" Type="http://schemas.openxmlformats.org/officeDocument/2006/relationships/image" Target="media/097d9e68442f8586148a911de890f9b42b249cf6.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2026-10-14T20:43:40.805Z</dcterms:created>
  <dcterms:modified xsi:type="dcterms:W3CDTF">2026-10-14T20:43:40.805Z</dcterms:modified>
</cp:coreProperties>
</file>

<file path=docProps/custom.xml><?xml version="1.0" encoding="utf-8"?>
<Properties xmlns="http://schemas.openxmlformats.org/officeDocument/2006/custom-properties" xmlns:vt="http://schemas.openxmlformats.org/officeDocument/2006/docPropsVTypes"/>
</file>