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es el mayor operador de centros comerciales de la región andina: 37 centros y 2,36 millones de m² de GLA en Chile, Perú y Colombia, con ingresos casi tan predecibles como un bono (81,4% arriendos, 93% de renta fija y reajustada en UF en Chile) y un margen EBITDA de 80,5%. Es un gran negocio, pero a CLP 3.555 el mercado lo paga como si sus flujos estuvieran casi libres de riesgo. Ponderando 80% nuestro DCF y 20% los múltiplos de pares, llegamos a un precio objetivo de CLP 2.076 y recomendamos VENDER. El desacuerdo con el mercado no está en los flujos, sino en la tasa: el precio exige una WACC de 7,56%, 285 pb bajo nuestro 10,41%, y un cap rate de 6,0% frente al 10,1% que implican nuestros flujos. Crecer no rescata el precio, porque cada m² nuevo rinde 5,0% real frente a una WACC real de 7,2%, y ni el escenario bull (CLP 2.627) ni la tasa de los tasadores (CLP 2.719) alcanzan la cotización. El riesgo principal para la tesis es una nueva compresión de las tasas largas.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666"/>
        <w:gridCol w:w="2666"/>
        <w:gridCol w:w="2666"/>
        <w:gridCol w:w="2666"/>
      </w:tblGrid>
      <w:tr>
        <w:tc>
          <w:tcPr>
            <w:tcW w:type="dxa" w:w="266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Recomendación</w:t>
            </w:r>
          </w:p>
          <w:p>
            <w:pPr>
              <w:keepNext w:val="false"/>
              <w:jc w:val="center"/>
            </w:pPr>
            <w:r>
              <w:rPr>
                <w:rFonts w:ascii="Arial" w:cs="Arial" w:eastAsia="Arial" w:hAnsi="Arial"/>
                <w:b/>
                <w:bCs/>
                <w:color w:val="FFFFFF"/>
                <w:sz w:val="26"/>
                <w:szCs w:val="26"/>
              </w:rPr>
              <w:t xml:space="preserve">VENDER</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objetivo</w:t>
            </w:r>
          </w:p>
          <w:p>
            <w:pPr>
              <w:keepNext w:val="false"/>
              <w:jc w:val="center"/>
            </w:pPr>
            <w:r>
              <w:rPr>
                <w:rFonts w:ascii="Arial" w:cs="Arial" w:eastAsia="Arial" w:hAnsi="Arial"/>
                <w:b/>
                <w:bCs/>
                <w:color w:val="FFFFFF"/>
                <w:sz w:val="26"/>
                <w:szCs w:val="26"/>
              </w:rPr>
              <w:t xml:space="preserve">CLP 2.076</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(30-sep-26)</w:t>
            </w:r>
          </w:p>
          <w:p>
            <w:pPr>
              <w:keepNext w:val="false"/>
              <w:jc w:val="center"/>
            </w:pPr>
            <w:r>
              <w:rPr>
                <w:rFonts w:ascii="Arial" w:cs="Arial" w:eastAsia="Arial" w:hAnsi="Arial"/>
                <w:b/>
                <w:bCs/>
                <w:color w:val="FFFFFF"/>
                <w:sz w:val="26"/>
                <w:szCs w:val="26"/>
              </w:rPr>
              <w:t xml:space="preserve">CLP 3.555</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Potencial</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DESCRIPCIÓN DEL NEGOCIO</w:t>
      </w:r>
    </w:p>
    <w:p>
      <w:pPr>
        <w:keepNext/>
        <w:pBdr>
          <w:bottom w:val="single" w:color="E9004B" w:sz="8" w:space="1"/>
        </w:pBdr>
        <w:spacing w:after="50" w:before="110"/>
        <w:ind w:right="3766"/>
      </w:pPr>
      <w:r>
        <w:rPr>
          <w:rFonts w:ascii="Arial" w:cs="Arial" w:eastAsia="Arial" w:hAnsi="Arial"/>
          <w:b/>
          <w:bCs/>
          <w:color w:val="14284B"/>
          <w:sz w:val="16"/>
          <w:szCs w:val="16"/>
        </w:rPr>
        <w:t xml:space="preserve">DE UN MALL EN LA FLORIDA A 37 CENTROS URBANOS EN LA REGIÓN ANDINA</w:t>
      </w:r>
    </w:p>
    <w:tbl>
      <w:tblPr>
        <w:tblpPr w:leftFromText="0" w:rightFromText="0" w:topFromText="0" w:bottomFromText="0" w:tblpX="711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keepNext w:val="false"/>
              <w:spacing w:after="20" w:before="0" w:line="240" w:lineRule="auto"/>
              <w:jc w:val="center"/>
            </w:pPr>
            <w:r>
              <w:drawing>
                <wp:inline distT="0" distB="0" distL="0" distR="0">
                  <wp:extent cx="11906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906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sin embargo,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la empresa además logra hacerlos crecer en términos reales. En Chile el arriendo de mismos contratos (SSR) aumentó 6,5% UDM frente a un IPC de 4,3%, sin que sus locatarios lo resientan, pues el arriendo equivale a apenas 9,9% de sus ventas (costo de ocupación), casi lo mismo que un año antes (9,7%). Tampoco se trata de un buen año aislado, ya que entre 1T23 y 2T26 el SSR de Chile promedió 6,9% contra una inflación de 4,8%.</w:t>
      </w:r>
    </w:p>
    <w:p>
      <w:pPr>
        <w:keepNext/>
        <w:pBdr>
          <w:bottom w:val="single" w:color="E9004B" w:sz="8" w:space="1"/>
        </w:pBdr>
        <w:spacing w:after="50" w:before="110"/>
        <w:ind w:right="3766"/>
      </w:pPr>
      <w:r>
        <w:rPr>
          <w:rFonts w:ascii="Arial" w:cs="Arial" w:eastAsia="Arial" w:hAnsi="Arial"/>
          <w:b/>
          <w:bCs/>
          <w:color w:val="14284B"/>
          <w:sz w:val="16"/>
          <w:szCs w:val="16"/>
        </w:rPr>
        <w:t xml:space="preserve">UN MIX DE LOCATARIOS QUE SE REINVENTA Y MÁRGENES ALTOS POR DISEÑO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Ese poder de precio descansa en un mix de locatarios que la empresa ha sabido reinventar.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como supermercados, mejoramiento del hogar, servicios públicos y salud, que generan visitas de alta frecuencia, y otro 21,5% a retail de especialidad. Ningún cliente domina los ingresos, ya que los cinco mayores locatarios suman 18% y las empresas relacionadas, 15,7%. A esto se suma una estructura de costos liviana, con un costo de ventas de 6,2% de los ingresos y gastos de administración de 13,9%, lo que deja un margen EBITDA de 80,5% UDM.</w:t>
      </w:r>
    </w:p>
    <w:p>
      <w:pPr>
        <w:keepNext/>
        <w:pBdr>
          <w:bottom w:val="single" w:color="E9004B" w:sz="8" w:space="1"/>
        </w:pBdr>
        <w:spacing w:after="50" w:before="110"/>
        <w:ind w:right="3766"/>
      </w:pPr>
      <w:r>
        <w:rPr>
          <w:rFonts w:ascii="Arial" w:cs="Arial" w:eastAsia="Arial" w:hAnsi="Arial"/>
          <w:b/>
          <w:bCs/>
          <w:color w:val="14284B"/>
          <w:sz w:val="16"/>
          <w:szCs w:val="16"/>
        </w:rPr>
        <w:t xml:space="preserve">EL VALOR SE CONCENTRA EN 10 ACTIVOS TIER 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historia de crecimiento se escribe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DE LA INDUSTRIA Y POSICIONAMIENTO COMPETITIVO</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CONCENTRADA EN CHILE Y FRAGMENTADA EN PERÚ Y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LA OFERTA NUEVA EN CHILE CRECE AL RITMO DEL CONSUMO, CON PRESIÓN EN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tbl>
      <w:tblPr>
        <w:tblpPr w:leftFromText="0" w:rightFromText="0" w:topFromText="0" w:bottomFromText="0" w:tblpX="711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ATRACTIVA, CUYA ÚNICA FUERZA INTENSA ES LA RIVALIDAD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que van de 71% a 90% en los tres operadores, y en la que la única fuerza intensa es la rivalidad.</w:t>
      </w:r>
    </w:p>
    <w:tbl>
      <w:tblPr>
        <w:tblpPr w:leftFromText="0" w:rightFromText="0" w:topFromText="0" w:bottomFromText="0" w:tblpX="7116" w:tblpY="60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5) y los márgenes no muestran erosión.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tbl>
      <w:tblPr>
        <w:tblpPr w:leftFromText="0" w:rightFromText="0" w:topFromText="0" w:bottomFromText="0" w:tblpX="7116" w:tblpY="1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6). 1 = fuerza débil; 5 = fuerza intensa.</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MALLPLAZA CONVIERTE SU ESCALA EN EL M² MÁS PRODUCTIVO DEL TRÍO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pBdr>
          <w:bottom w:val="single" w:color="E9004B" w:sz="8" w:space="1"/>
        </w:pBdr>
        <w:spacing w:after="50" w:before="110"/>
        <w:ind w:right="3766"/>
      </w:pPr>
      <w:r>
        <w:rPr>
          <w:rFonts w:ascii="Arial" w:cs="Arial" w:eastAsia="Arial" w:hAnsi="Arial"/>
          <w:b/>
          <w:bCs/>
          <w:color w:val="14284B"/>
          <w:sz w:val="16"/>
          <w:szCs w:val="16"/>
        </w:rPr>
        <w:t xml:space="preserve">CONTRATOS LARGOS PARA DEFENDER SU POSICIÓN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tbl>
      <w:tblPr>
        <w:tblpPr w:leftFromText="0" w:rightFromText="0" w:topFromText="0" w:bottomFromText="0" w:tblpX="7116" w:tblpY="6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p>
      <w:pPr>
        <w:keepNext/>
        <w:pBdr>
          <w:bottom w:val="single" w:color="14284B" w:sz="18" w:space="2"/>
        </w:pBdr>
        <w:spacing w:after="80" w:before="120"/>
        <w:ind w:right="3766"/>
      </w:pPr>
      <w:r>
        <w:rPr>
          <w:rFonts w:ascii="Arial" w:cs="Arial" w:eastAsia="Arial" w:hAnsi="Arial"/>
          <w:b/>
          <w:bCs/>
          <w:color w:val="14284B"/>
          <w:sz w:val="30"/>
          <w:szCs w:val="30"/>
        </w:rPr>
        <w:t xml:space="preserve">AMBIENTAL, SOCIAL Y GOBIERNO CORPORATIVO (ESG)</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puntos) de la industria a nivel global y de su competencia directa en Chile (Figura 7), pero esto se contrarresta con el perfil “verde” de la empresa a nivel local, ya que figura como una de las principales REM a nivel regional. </w:t>
      </w:r>
      <w:r>
        <w:rPr>
          <w:rFonts w:ascii="Arial" w:cs="Arial" w:eastAsia="Arial" w:hAnsi="Arial"/>
          <w:b/>
          <w:bCs/>
          <w:i w:val="false"/>
          <w:iCs w:val="false"/>
          <w:color w:val="14284B"/>
          <w:sz w:val="16"/>
          <w:szCs w:val="16"/>
        </w:rPr>
        <w:t xml:space="preserve">Beneficios financieros potenciales: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w:t>
      </w:r>
    </w:p>
    <w:tbl>
      <w:tblPr>
        <w:tblpPr w:leftFromText="0" w:rightFromText="0" w:topFromText="0" w:bottomFromText="0" w:tblpX="7116" w:tblpY="-81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AMBIENTAL</w:t>
      </w:r>
    </w:p>
    <w:tbl>
      <w:tblPr>
        <w:tblpPr w:leftFromText="0" w:rightFromText="0" w:topFromText="0" w:bottomFromText="0" w:tblpX="7116" w:tblpY="169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keepNext w:val="false"/>
              <w:spacing w:after="20" w:before="0" w:line="240" w:lineRule="auto"/>
              <w:jc w:val="center"/>
            </w:pPr>
            <w:r>
              <w:drawing>
                <wp:inline distT="0" distB="0" distL="0" distR="0">
                  <wp:extent cx="20288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288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de avance 2025). </w:t>
      </w:r>
      <w:r>
        <w:rPr>
          <w:rFonts w:ascii="Arial" w:cs="Arial" w:eastAsia="Arial" w:hAnsi="Arial"/>
          <w:b/>
          <w:bCs/>
          <w:i w:val="false"/>
          <w:iCs w:val="false"/>
          <w:color w:val="14284B"/>
          <w:sz w:val="16"/>
          <w:szCs w:val="16"/>
        </w:rPr>
        <w:t xml:space="preserve">Índices de sostenibilidad:</w:t>
      </w:r>
      <w:r>
        <w:rPr>
          <w:rFonts w:ascii="Arial" w:cs="Arial" w:eastAsia="Arial" w:hAnsi="Arial"/>
          <w:i w:val="false"/>
          <w:iCs w:val="false"/>
          <w:color w:val="1A1A1A"/>
          <w:sz w:val="16"/>
          <w:szCs w:val="16"/>
        </w:rPr>
        <w:t xml:space="preserve"> La compañía está presente en DJSI Chile, DJSI MILA y es la única empresa REM de Sudamérica en ser parte del MSCI ESG, con una clasificación de “BBB”, lo que le da exposición a ETFs, por otra parte, tiene los siguientes reconocimientos: S&amp;P Global Sustainability Yearbook; Morningstar Sustainalytics le da una calificación de 14,4 de riesgo y Huella de Carbono Perú (2/4 estrellas), lo que aporta a su imagen ESG. </w:t>
      </w:r>
      <w:r>
        <w:rPr>
          <w:rFonts w:ascii="Arial" w:cs="Arial" w:eastAsia="Arial" w:hAnsi="Arial"/>
          <w:b/>
          <w:bCs/>
          <w:i w:val="false"/>
          <w:iCs w:val="false"/>
          <w:color w:val="14284B"/>
          <w:sz w:val="16"/>
          <w:szCs w:val="16"/>
        </w:rPr>
        <w:t xml:space="preserve">Energía:</w:t>
      </w:r>
      <w:r>
        <w:rPr>
          <w:rFonts w:ascii="Arial" w:cs="Arial" w:eastAsia="Arial" w:hAnsi="Arial"/>
          <w:i w:val="false"/>
          <w:iCs w:val="false"/>
          <w:color w:val="1A1A1A"/>
          <w:sz w:val="16"/>
          <w:szCs w:val="16"/>
        </w:rPr>
        <w:t xml:space="preserve"> Plaza se ha propuesto disminuir en un 22% la intensidad energética del gasto común para el 2035 (35,5% de avance 2025; Figura 8). La meta propuesta de eficiencia eléctrica es que el 100% sea de energías renovables en 2026 (89,3% de avance). En 2025 la proporción anual fue 0,16 MWh/m² (Energía/GLA), siendo 0,14 renovable y 0,014 no renovable (Figura 9).</w:t>
      </w:r>
      <w:r>
        <w:rPr>
          <w:rFonts w:ascii="Arial" w:cs="Arial" w:eastAsia="Arial" w:hAnsi="Arial"/>
          <w:b/>
          <w:bCs/>
          <w:i w:val="false"/>
          <w:iCs w:val="false"/>
          <w:color w:val="14284B"/>
          <w:sz w:val="16"/>
          <w:szCs w:val="16"/>
        </w:rPr>
        <w:t xml:space="preserve">Agua:</w:t>
      </w:r>
      <w:r>
        <w:rPr>
          <w:rFonts w:ascii="Arial" w:cs="Arial" w:eastAsia="Arial" w:hAnsi="Arial"/>
          <w:i w:val="false"/>
          <w:iCs w:val="false"/>
          <w:color w:val="1A1A1A"/>
          <w:sz w:val="16"/>
          <w:szCs w:val="16"/>
        </w:rPr>
        <w:t xml:space="preserve"> Fijó el objetivo de disminuir en un 30% el consumo directo de agua para 2025, lo que se logró en un 100,9% esto se ve influenciado por sus certificaciones LEED y EDGE. En 2025 la proporción anual fue 0,77 m³/m² (Agua/GLA) y 0,66 m³/m²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de avance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Residuos:</w:t>
      </w:r>
      <w:r>
        <w:rPr>
          <w:rFonts w:ascii="Arial" w:cs="Arial" w:eastAsia="Arial" w:hAnsi="Arial"/>
          <w:i w:val="false"/>
          <w:iCs w:val="false"/>
          <w:color w:val="1A1A1A"/>
          <w:sz w:val="16"/>
          <w:szCs w:val="16"/>
        </w:rPr>
        <w:t xml:space="preserve"> Plaza propuso un 60% de valorización de residuos generados el 2025 (94,8% de avance; Figura 9 y Anexo 8, figura 8.4),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Gestión climática:</w:t>
      </w:r>
      <w:r>
        <w:rPr>
          <w:rFonts w:ascii="Arial" w:cs="Arial" w:eastAsia="Arial" w:hAnsi="Arial"/>
          <w:i w:val="false"/>
          <w:iCs w:val="false"/>
          <w:color w:val="1A1A1A"/>
          <w:sz w:val="16"/>
          <w:szCs w:val="16"/>
        </w:rPr>
        <w:t xml:space="preserve"> 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116" w:tblpY="47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y evaluaciones de materialidad (Anexo 8, figura 8.3),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(Anexo 8, sección 5),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10).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tbl>
      <w:tblPr>
        <w:tblpPr w:leftFromText="0" w:rightFromText="0" w:topFromText="0" w:bottomFromText="0" w:tblpX="7116" w:tblpY="39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10) y hay una brecha salarial media entre hombres y mujeres de 28% a nivel regional. La meta al 2028 es que el 60% de los establecimientos estén certificados como espacios inclusivos, además Plaza obtuvo “Sello Mayor”, distinción que certifica la adaptación física y operacional para las personas mayores.</w:t>
      </w:r>
    </w:p>
    <w:p>
      <w:pPr>
        <w:keepNext/>
        <w:pBdr>
          <w:bottom w:val="single" w:color="E9004B" w:sz="8" w:space="1"/>
        </w:pBdr>
        <w:spacing w:after="50" w:before="110"/>
        <w:ind w:right="3766"/>
      </w:pPr>
      <w:r>
        <w:rPr>
          <w:rFonts w:ascii="Arial" w:cs="Arial" w:eastAsia="Arial" w:hAnsi="Arial"/>
          <w:b/>
          <w:bCs/>
          <w:color w:val="14284B"/>
          <w:sz w:val="16"/>
          <w:szCs w:val="16"/>
        </w:rPr>
        <w:t xml:space="preserve">GOBIERNO CORPORATIVO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Directorio y comités:</w:t>
      </w:r>
      <w:r>
        <w:rPr>
          <w:rFonts w:ascii="Arial" w:cs="Arial" w:eastAsia="Arial" w:hAnsi="Arial"/>
          <w:i w:val="false"/>
          <w:iCs w:val="false"/>
          <w:color w:val="1A1A1A"/>
          <w:sz w:val="16"/>
          <w:szCs w:val="16"/>
        </w:rPr>
        <w:t xml:space="preserve"> En 2025 el Directorio compuesto por 9 miembros (sólo uno es catalogado como independiente; Figura 11 y Anexo 8, figura 8.2) es el responsable de definir objetivos, estrategias y políticas de Plaza, mientras que el comité de directores (compuesto por 3 integrantes) busca revisar los balances y estados financieros, mitigando así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Accionistas:</w:t>
      </w:r>
      <w:r>
        <w:rPr>
          <w:rFonts w:ascii="Arial" w:cs="Arial" w:eastAsia="Arial" w:hAnsi="Arial"/>
          <w:i w:val="false"/>
          <w:iCs w:val="false"/>
          <w:color w:val="1A1A1A"/>
          <w:sz w:val="16"/>
          <w:szCs w:val="16"/>
        </w:rPr>
        <w:t xml:space="preserve"> Plaza tiene un modelo de control concentrado, donde es controlado por Falabella S.A. por medio de su filial Desarrollos Inmobiliarios SpA (53,05% de las acciones; Anexo 8, figura 8.1),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Ética, auditoría y control:</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 En cuanto a sanciones a nivel regional 2025, Plaza no tiene sanciones a la libre competencia ni de corrupción, pero tiene 27 sanciones a los derechos de los clientes/consumidores, 2 a los derechos de los trabajadores, 1 a la superintendencia medioambiental y 8 de acoso laboral/sexual (Anexo 8, sección 3).</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FINANCIERO</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keepNext w:val="false"/>
        <w:spacing w:after="30" w:before="4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El ROE normalizado de 8–10% es el retorno real; el ROE reportado depende de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keepNext w:val="false"/>
        <w:spacing w:after="60"/>
      </w:pPr>
    </w:p>
    <w:tbl>
      <w:tblPr>
        <w:tblpPr w:leftFromText="0" w:rightFromText="0" w:topFromText="0" w:bottomFromText="0" w:tblpX="7116" w:tblpY="12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La utilidad reportada sigue al tasador; el FFO sigue al negocio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elevó la utilidad atribuible a CLP 1.431 mil MM (2,2 veces los ingresos) y el ROE reportado a 37,5% (Figura 12). Cerca de dos tercios del alza de 29% en Chile vino de una menor tasa de descuento en la tasación, no de un mayor NOI.</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las ganancias por valor razonable netas de impuesto diferido, la utilidad distribuible auditada fue CLP 369 mil MM y el ROE 9,7%, el más alto de los tres pares locales en base comparable (Anexo 14). El FFO, que reconstruimos desde los estados financieros con 0,02% de diferencia frente a los CLP 405 mil MM reportados (Figura 13), mantuvo un margen de 59–62% en 2022–2025, mientras la utilidad neta varió más de cuatro veces. El FFO excluye el reajuste UF de la deuda (CLP 44 mil MM, 11% del FFO); la utilidad distribuible lo incluye y es nuestra ancla conservadora de utilidades.</w:t>
      </w:r>
    </w:p>
    <w:tbl>
      <w:tblPr>
        <w:tblpPr w:leftFromText="0" w:rightFromText="0" w:topFromText="0" w:bottomFromText="0" w:tblpX="7116" w:tblpY="84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Descompuesto, el ROE normalizado de 2025 (9,7%) es un margen neto normalizado de 56,5% por una rotación de activos de apenas 0,097x y un apalancamiento contable de 1,77x. La rotación es baja porque el balance está a valor razonable: cada revalorización infla los activos y el patrimonio sin traer más caja. Por eso proyectamos un ROE normalizado estable en torno a 8%, que solo sube con el apalancamiento y no con la operación.</w:t>
      </w:r>
    </w:p>
    <w:p>
      <w:pPr>
        <w:keepNext/>
        <w:pBdr>
          <w:bottom w:val="single" w:color="E9004B" w:sz="8" w:space="1"/>
        </w:pBdr>
        <w:spacing w:after="50" w:before="110"/>
        <w:ind w:right="3766"/>
      </w:pPr>
      <w:r>
        <w:rPr>
          <w:rFonts w:ascii="Arial" w:cs="Arial" w:eastAsia="Arial" w:hAnsi="Arial"/>
          <w:b/>
          <w:bCs/>
          <w:color w:val="14284B"/>
          <w:sz w:val="16"/>
          <w:szCs w:val="16"/>
        </w:rPr>
        <w:t xml:space="preserve">Dos tercios del crecimiento de 2025 fueron comprados; el orgánico real es cerca de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subieron 76% entre 2022 y 2025, pero 21,8 pp del 32,2% de 2025 vinieron del perímetro: el portafolio peruano comprado a Falabella, consolidado desde el 4 de diciembre de 2024. Sin Perú, los ingresos crecieron 10,7% en 2025 y 7,1% en 1S26.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moneda ni inflación, el crecimiento reportado de 7,4% en 1S26 baja a cerca de 3,0% real (Figura 14). Chile creció 2,8% tras un reajuste UF de 3,1% (5,1% en 2025); Perú, 4,5% pese a que la ocupación bajó a 93,8%; y Colombia solo cerca de 1% una vez descontadas una apreciación del COP de 7,5% y una inflación de 6,1%.</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crecimiento es contractual, no de ventas. La renta variable es 5,1% de los ingresos y cayó 1,1% en 1S26 mientras las ventas de los locatarios subían 6,7%, porque las rentas mínimas (renta en mismas tiendas +5,5%) crecen más que las ventas (ventas en mismas tiendas +3,7%). Los ingresos se comportan como un bono, pero su crecimiento real converge al 0,4–0,9% que la propia compañía supone para Chile en su tasación.</w:t>
      </w:r>
    </w:p>
    <w:p>
      <w:pPr>
        <w:keepNext/>
        <w:pBdr>
          <w:bottom w:val="single" w:color="E9004B" w:sz="8" w:space="1"/>
        </w:pBdr>
        <w:spacing w:after="50" w:before="110"/>
        <w:ind w:right="3766"/>
      </w:pPr>
      <w:r>
        <w:rPr>
          <w:rFonts w:ascii="Arial" w:cs="Arial" w:eastAsia="Arial" w:hAnsi="Arial"/>
          <w:b/>
          <w:bCs/>
          <w:color w:val="14284B"/>
          <w:sz w:val="16"/>
          <w:szCs w:val="16"/>
        </w:rPr>
        <w:t xml:space="preserve">El margen subió por mix y recuperación de gastos; el apalancamiento operativo se agotó</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es estructural.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 el costo de ventas en 6% de los ingresos y costos operativos totales cercanos a 20%, queda poco costo fijo que diluir; con la D&amp;A en 0,7% de los ingresos, el EBIT (CLP 523 mil MM en 2025) sigue al EBITDA. En 1S26 el EBITDA creció 7,4%, en línea con los ingresos, y el margen se mantuvo en 79,7%. Los gastos de administración subieron 18,1% por remuneraciones (+18,9%: transición del gerente general y un año completo de Perú), un gasto en incobrables que se recupera desde una base 2025 favorecida por recuperaciones (0,64% de los ingresos, bajo el 1,22% de 2024) y un impuesto al patrimonio único en Colombia de CLP 1,7 mil MM. Sin estos dos últimos, el margen de 1S26 sería 80,4%, 0,7 pp más.</w:t>
      </w:r>
    </w:p>
    <w:p>
      <w:pPr>
        <w:keepNext/>
        <w:pBdr>
          <w:bottom w:val="single" w:color="E9004B" w:sz="8" w:space="1"/>
        </w:pBdr>
        <w:spacing w:after="50" w:before="110"/>
        <w:ind w:right="3766"/>
      </w:pPr>
      <w:r>
        <w:rPr>
          <w:rFonts w:ascii="Arial" w:cs="Arial" w:eastAsia="Arial" w:hAnsi="Arial"/>
          <w:b/>
          <w:bCs/>
          <w:color w:val="14284B"/>
          <w:sz w:val="16"/>
          <w:szCs w:val="16"/>
        </w:rPr>
        <w:t xml:space="preserve">La caja cubre el dividendo 2,6x; el techo es la política, no la liquidez</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flujo operativo subió de CLP 301 mil MM en 2024 a CLP 441 mil MM en 2025, convirtiendo 98,7% del EBITDA antes de impuestos. El impuesto pagado fue solo 15% del resultado operacional, protegido por goodwill tributario de reorganizaciones en Chile y pérdidas tributarias (Nota 13), y subirá hacia la tasa legal de 27%. Después de capex e intereses netos, el flujo de caja libre antes del servicio de la deuda fue CLP 280 mil MM y cubrió los dividendos 2,6x (Figura 15).</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Sin revalorizaciones ni partidas no monetarias, CLP 1.441 mil MM de utilidad se vuelven CLP 408 mil MM de FFO (CLP mil MM)</w:t>
            </w:r>
          </w:p>
          <w:p>
            <w:pPr>
              <w:keepNext w:val="false"/>
              <w:spacing w:after="20" w:before="0" w:line="240" w:lineRule="auto"/>
              <w:jc w:val="center"/>
            </w:pPr>
            <w:r>
              <w:drawing>
                <wp:inline distT="0" distB="0" distL="0" distR="0">
                  <wp:extent cx="21907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907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Celeste suma, rojo resta, azul = totales. Tras minoritarios (CLP 2,8 mil MM), el FFO atribuible es CLP 405,2 mil MM vs 405,3 reportado. Fuente: EEFF Plaza S.A. (CMF) 2025, Notas 13.1 y 23;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salto de 38,6% del flujo operativo en 1S26 no es capacidad de generación: el 59% corresponde a cobranzas de diciembre que se revierten vía capital de trabajo. Los días de cobro bajaron de 66 a 50, sin señales de peor recaudación.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política de dividendos reparte 40% de la utilidad distribuible con un año de rezago, por lo que la caja retenida es alta: CLP 171,6 mil MM en 2025. En el caso base, el FFO sube de CLP 428,5 mil MM en 2026E a 501,6 mil MM en 2031E y los dividendos ordinarios de CLP 147,7 a 172,6 mil MM; la caja restante, junto con la deuda nueva, financia el capex y las distribuciones adicionales (Anexo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445 MM restantes del pipeline en 2026–2028 y luego sigue agregando cerca de 27.000 m² de GLA al año, el ritmo orgánico de 2022–2025, por lo que el capex se estabiliza cerca de 16% de los ingresos y no en el piso de mantención de 5,5% (Figura 18).</w:t>
      </w:r>
    </w:p>
    <w:p>
      <w:pPr>
        <w:keepNext/>
        <w:pBdr>
          <w:bottom w:val="single" w:color="E9004B" w:sz="8" w:space="1"/>
        </w:pBdr>
        <w:spacing w:after="50" w:before="110"/>
        <w:ind w:right="3766"/>
      </w:pPr>
      <w:r>
        <w:rPr>
          <w:rFonts w:ascii="Arial" w:cs="Arial" w:eastAsia="Arial" w:hAnsi="Arial"/>
          <w:b/>
          <w:bCs/>
          <w:color w:val="14284B"/>
          <w:sz w:val="16"/>
          <w:szCs w:val="16"/>
        </w:rPr>
        <w:t xml:space="preserve">Los indicadores de flujo justifican el AAA; los ratios contables lo exageran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LTV bajó de 26,9% a 18,8% en 2025, pero 5,0 pp de la caída de 8,0 pp vinieron de revalorizar el denominador; con las propiedades al valor de 2024 más las adiciones, el LTV habría sido 23,8% (Figura 16). Los indicadores de flujo son el lente honesto y respaldan el alza de Feller Rate a AAA (25 de septiembre de 2026): la DFN/EBITDA bajó de 3,78x a 2,36x con el EBITDA UDM de junio de 2026 (la cifra de 2024 incluye solo un mes de Perú), y el EBITDA cubre 8,4x los costos financieros.</w:t>
      </w:r>
    </w:p>
    <w:tbl>
      <w:tblPr>
        <w:tblpPr w:leftFromText="0" w:rightFromText="0" w:topFromText="0" w:bottomFromText="0" w:tblpX="7116" w:tblpY="19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Dos tercios del crecimiento 2025 fueron comprados; en 1S26 la moneda y la inflación explican más de la mitad</w:t>
            </w:r>
          </w:p>
          <w:p>
            <w:pPr>
              <w:keepNext w:val="false"/>
              <w:spacing w:after="20" w:before="0" w:line="240" w:lineRule="auto"/>
              <w:jc w:val="center"/>
            </w:pPr>
            <w:r>
              <w:drawing>
                <wp:inline distT="0" distB="0" distL="0" distR="0">
                  <wp:extent cx="20764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0764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deuda bruta de CLP 1.633 mil MM está 79% en UF, 14% en PEN y 7% en COP, en línea con las monedas de los ingresos; el 95% es de largo plazo, con una duración de 6,6 años. Los bonos en UF pagan un cupón real de 3,36% (3,48% efectivo), pero con el reajuste UF el costo nominal total fue cercano a 7% en 2025. Los vencimientos se concentran en 2029, 2031 y 2033 (Figura 17); refinanciar la serie S (1,32% efectivo) a la tasa de la última emisión (4,33%) sumaría cerca de CLP 4,9 mil MM al año. La liquidez es holgada: a junio de 2026 la razón corriente era 2,50x y la caja cubría 1,71x los pasivos corrientes.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1,8 billones acumulados en 2S26E–2031E (Anexo 13). Con 3,5x, el nuevo AAA probablemente quedaría bajo presión.</w:t>
      </w:r>
    </w:p>
    <w:p>
      <w:pPr>
        <w:keepNext/>
        <w:pBdr>
          <w:bottom w:val="single" w:color="E9004B" w:sz="8" w:space="1"/>
        </w:pBdr>
        <w:spacing w:after="50" w:before="110"/>
        <w:ind w:right="3766"/>
      </w:pPr>
      <w:r>
        <w:rPr>
          <w:rFonts w:ascii="Arial" w:cs="Arial" w:eastAsia="Arial" w:hAnsi="Arial"/>
          <w:b/>
          <w:bCs/>
          <w:color w:val="14284B"/>
          <w:sz w:val="16"/>
          <w:szCs w:val="16"/>
        </w:rPr>
        <w:t xml:space="preserve">El forecast proyecta lo que respalda la historia, incluido el ritmo de expansión</w:t>
      </w:r>
    </w:p>
    <w:tbl>
      <w:tblPr>
        <w:tblpPr w:leftFromText="0" w:rightFromText="0" w:topFromText="0" w:bottomFromText="0" w:tblpX="7116" w:tblpY="77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El flujo de caja libre cubre los dividendos 1,5–2,6x aun con más capex (2025, CLP mil MM)</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crecen 7,7% en 2026E y 5,0% en 2031E (CAGR 2026E–2031E de 6,4%), a medida que el crecimiento real en mismas tiendas converge a los puntos medios de la tasación, maduran los 123.700 m² del pipeline con fecha y, desde 2029E, abren cerca de 27.000 m² al año al ritmo histórico (Figura 18); los ingresos 2026E y 2027E quedan a menos de 0,6% del consenso. El margen EBITDA se mantiene en 79,7–79,8%, bajo el máximo de 2025. El impuesto en caja se normaliza de 16,8% a 27% hacia 2030E y los costos financieros suben con el apalancamiento, por lo que el margen FFO baja de 60,9% a 52,2%. El capital de trabajo se mantiene en 15,6% de los ingresos, el nivel de diciembre de 2025 (Anexo 9). El GLA nuevo rinde 6,9% sobre el costo, un retorno real de 5,0% después de impuestos frente a una WACC real de 7,2%: la expansión suma ingresos, pero no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esto significa para la valoración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análisis deja tres conclusiones para el modelo. Primero, la base de utilidades correcta es la caja: usamos el EBITDA de la compañía, que elimina una sola vez la revalorización (Anexo 12), y la utilidad distribuible como ancla, no la utilidad contable de CLP 1.431 mil MM. Segundo, la calidad del negocio no está en duda: Mallplaza tiene el ROE normalizado más alto de sus pares locales (9,7% frente a 7,8% de Parque Arauco y 8,0% de Cencosud Shopping) con un LTV de solo 18,8% (Anexo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Tercero, el retorno sobre el capital a valor razonable es bajo. El ROIC de 2025, con NOPAT al 27% sobre el capital invertido a valor de tasación, fue 7,3% (Anexo 11), por debajo de una WACC nominal de 10,4%: las propiedades valen en libros más de lo que sus flujos justifican a nuestra tasa. Al precio actual, el FFO 2026E de CLP 428,5 mil MM rinde 5,5% sobre el valor de mercado (18x FFO) y la utilidad distribuible 4,9%: el mercado paga por estos flujos como si fueran casi libres de riesgo. Esa es la brecha que cuantifica la sección de Valuación. En suma: un negocio de alta calidad, con caja predecible y un balance holgado, cuyo precio ya descuenta más de lo que esos flujos pueden entregar.</w:t>
      </w:r>
    </w:p>
    <w:p>
      <w:pPr>
        <w:keepNext/>
        <w:pBdr>
          <w:bottom w:val="single" w:color="14284B" w:sz="18" w:space="2"/>
        </w:pBdr>
        <w:spacing w:after="80" w:before="120"/>
        <w:ind w:right="3766"/>
      </w:pPr>
      <w:r>
        <w:rPr>
          <w:rFonts w:ascii="Arial" w:cs="Arial" w:eastAsia="Arial" w:hAnsi="Arial"/>
          <w:b/>
          <w:bCs/>
          <w:color w:val="14284B"/>
          <w:sz w:val="30"/>
          <w:szCs w:val="30"/>
        </w:rPr>
        <w:t xml:space="preserve">VALUACIÓN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UN PRECIO QUE NINGÚN MÉTODO ALCANZA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doce meses la acción subió de CLP 2.470 a 4.700 y hoy cotiza en CLP 3.555. Ninguno de nuestros métodos llega a ese precio: el DCF va de CLP 1.379 a 2.329 aun moviendo la WACC ±100 pb y g entre 2,5% y 4,0%, y los múltiplos más favorables tampoco lo alcanzan (Figura 19).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tbl>
      <w:tblPr>
        <w:tblpPr w:leftFromText="0" w:rightFromText="0" w:topFromText="0" w:bottomFromText="0" w:tblpX="711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Tras el pipeline, la expansión mantiene el capex cerca de CLP 150 mil MM al año mientras el apalancamiento sube a 3,5x</w:t>
            </w:r>
          </w:p>
          <w:p>
            <w:pPr>
              <w:keepNext w:val="false"/>
              <w:spacing w:after="20" w:before="0" w:line="240" w:lineRule="auto"/>
              <w:jc w:val="center"/>
            </w:pPr>
            <w:r>
              <w:drawing>
                <wp:inline distT="0" distB="0" distL="0" distR="0">
                  <wp:extent cx="13716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7160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incluye CLP 84,2 mil MM gastados en 1S26; el apalancamiento 2024A incluye un mes de EBITDA de Perú. Fuente: EEFF (CMF); release 2T26 (pipeline); caso base de valoración (Anexos 9 y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Figura 19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keepNext/>
        <w:pBdr>
          <w:bottom w:val="single" w:color="E9004B" w:sz="8" w:space="1"/>
        </w:pBdr>
        <w:spacing w:after="50" w:before="110"/>
        <w:ind w:right="3766"/>
      </w:pPr>
      <w:r>
        <w:rPr>
          <w:rFonts w:ascii="Arial" w:cs="Arial" w:eastAsia="Arial" w:hAnsi="Arial"/>
          <w:b/>
          <w:bCs/>
          <w:color w:val="14284B"/>
          <w:sz w:val="16"/>
          <w:szCs w:val="16"/>
        </w:rPr>
        <w:t xml:space="preserve">LA HISTORIA ESTÁ EN LA TASA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Proyectamos el flujo de caja libre de la firma en CLP nominales desde el 30-jun-26, con horizonte explícito hasta 2031E y un valor terminal que explica el 76% del EV (Anexo 15). Los CLP 1.857 por acción son CLP 583 de flujos explícitos y CLP 1.884 de valor terminal, menos CLP 610 de deuda y minoritarios: el resultado depende, sobre todo, de la tasa de descuento.</w:t>
      </w:r>
    </w:p>
    <w:tbl>
      <w:tblPr>
        <w:tblpPr w:leftFromText="0" w:rightFromText="0" w:topFromText="0" w:bottomFromText="0" w:tblpX="7116" w:tblpY="13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Dos tercios de la caída del LTV en 2025 son revalorización, no desapalancamiento</w:t>
            </w:r>
          </w:p>
          <w:p>
            <w:pPr>
              <w:keepNext w:val="false"/>
              <w:spacing w:after="20" w:before="0" w:line="240" w:lineRule="auto"/>
              <w:jc w:val="center"/>
            </w:pPr>
            <w:r>
              <w:drawing>
                <wp:inline distT="0" distB="0" distL="0" distR="0">
                  <wp:extent cx="20288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288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de 11,93% (Rf 4,98%, beta re-apalancada de 1,14 desde una mediana de seis pares de 0,94, ERP 4,14% y CRP de 1,41% ponderado por ingresos) y un Kd de 5,11% después de impuestos, basado en el cupón real de 3,6% de la última emisión (Anexo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Construimos el Ke en dólares porque sus tres insumos están en esa moneda: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La beta parte de desapalancar con Hamada a seis pares regionales y se re-apalanca período a período con la estructura de Mallplaza, por eso pasa de 1,09 en 2S26E a 1,14 en el terminal.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Aquí aparece la primera señal: a CLP 3.555 el patrimonio rinde ~4,4% real, apenas 80 pb sobre el costo real de la deuda de la propia compañía (Figura 20). El mercado está pagando por la acción casi como si fuera un bono.</w:t>
      </w:r>
    </w:p>
    <w:p>
      <w:pPr>
        <w:keepNext/>
        <w:pBdr>
          <w:bottom w:val="single" w:color="E9004B" w:sz="8" w:space="1"/>
        </w:pBdr>
        <w:spacing w:after="50" w:before="110"/>
        <w:ind w:right="3766"/>
      </w:pPr>
      <w:r>
        <w:rPr>
          <w:rFonts w:ascii="Arial" w:cs="Arial" w:eastAsia="Arial" w:hAnsi="Arial"/>
          <w:b/>
          <w:bCs/>
          <w:color w:val="14284B"/>
          <w:sz w:val="16"/>
          <w:szCs w:val="16"/>
        </w:rPr>
        <w:t xml:space="preserve">CRECER NO RESCATA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tbl>
      <w:tblPr>
        <w:tblpPr w:leftFromText="0" w:rightFromText="0" w:topFromText="0" w:bottomFromText="0" w:tblpX="7116" w:tblpY="75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El riesgo de refinanciamiento está en 2029, 2031 y 2033, no en el corto plazo</w:t>
            </w:r>
          </w:p>
          <w:p>
            <w:pPr>
              <w:keepNext w:val="false"/>
              <w:spacing w:after="20" w:before="0" w:line="240" w:lineRule="auto"/>
              <w:jc w:val="center"/>
            </w:pPr>
            <w:r>
              <w:drawing>
                <wp:inline distT="0" distB="0" distL="0" distR="0">
                  <wp:extent cx="18478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478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apenas CLP 7.100–9.900 MM al año y mueve el precio en ±1,2% (Figura 21). Son supuestos que el equipo puede defender línea a línea (Anexo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Y el capital de trabajo es positivo porque las cuentas por cobrar a locatarios (CLP 122.370 MM) superan los arriendos cobrados por anticipado (CLP 20.247 MM): crece con los ingresos, no con los m² nuevos.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problema es el retorno de crecer. Cada m² nuevo rinde 6,9% sobre su costo, un RONIC real de 5,0% después de impuestos, bajo una WACC real de 7,2%. La expansión suma ingresos, pero no valor: por eso el valor terminal crece solo con la inflación (g de 3,0% nominal, 0% real) y un g mayor reduce el valor (Figura 22). Suponer más crecimiento no cerraría la brecha con el precio; la agrandaría.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No es un supuesto conservador contra la empresa; con estos retornos, crecer más reduciría su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LOS PARES CONFIRMAN LA DIRECCIÓN, NO LA MAGNITUD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sobre la tasa local es parecido en ambos países, 385 pb en Chile y 302 pb en Brasil (Figura 23). Por eso ponderamos 70% la mediana chilena y 30% la del set común (que incluye IRSA; excluimos Fibra Danhos por su régimen FIBRA): 14,4x, que lleva a CLP 2.951 por acción. La ponderación pesa poco: entre 0% y 100% Chile, el precio objetivo solo va de CLP 1.916 a 2.144 (Anexo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contexto macro explica la diferencia. Al 30-jun-26 Brasil tenía una Selic de 14,25%, un bono nominal a 10 años de 14,34% e inflación esperada de 5,3% para 2026, frente a una TPM de 4,5%, un bono nominal de 5,43% y 4,1% de inflación en Chile, con crecimientos parecidos (2,0% y 1,6%). Un inversionista en Brasil exige más a cualquier activo, no solo a los centros comerciales; aplicar ese descuento a Mallplaza, que genera el 71,8% de sus ingresos en Chile, sería castigarla por un riesgo que no corre.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Ningún método justifica el precio actual (CLP por acción)</w:t>
            </w:r>
          </w:p>
          <w:p>
            <w:pPr>
              <w:keepNext w:val="false"/>
              <w:spacing w:after="20" w:before="0" w:line="240" w:lineRule="auto"/>
              <w:jc w:val="center"/>
            </w:pPr>
            <w:r>
              <w:drawing>
                <wp:inline distT="0" distB="0" distL="0" distR="0">
                  <wp:extent cx="21907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907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Rango de 52 semanas intradía (01-10-25 a 30-09-26; mínimo 10-10-25, máximo 27-04-26). Fuente: análisis del equipo;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24): confirman que la acción está cara, y la magnitud la da el DCF. Excluimos el P/E (CLP 8.644), distorsionado por la revalorización de propiedades.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EL MERCADO TENDRÍA QUE CREER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precio implica un EV de CLP 9,12 billones, 69% sobre el nuestro, y un cap rate de 6,0%, frente a 10,1% en nuestro DCF, 6,4% en los pares chilenos y 7,5% a valor libro (Figura 25). El mercado paga 1,61 veces un patrimonio que ya está a valor razonable, tasado con una tasa real de ~5,55% (Nota 11): paga más que los propios tasadores. Para justificar CLP 3.555 la WACC tendría que ser 285 pb menor (Figura 26); incluso con la tasa de los tasadores, el DCF sería CLP 2.660.</w:t>
      </w:r>
    </w:p>
    <w:tbl>
      <w:tblPr>
        <w:tblpPr w:leftFromText="0" w:rightFromText="0" w:topFromText="0" w:bottomFromText="0" w:tblpX="7116" w:tblpY="24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A CLP 3.555 el patrimonio rinde casi lo mismo que la deuda</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Tasas reales en UF. Fuente: BCCh (30-06-26);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Llevamos la tesis a sus extremos. En un caso bear (WACC +100 pb y el margen trimestral mínimo de 75,8%) el precio objetivo cae a CLP 1.713; en un caso bull que suma WACC −100 pb, g de 2,5%, el margen trimestral máximo de 81,3% y la rebaja del impuesto a 23%, sube a CLP 2.627, todavía 26% bajo el precio. El APV (CLP 1.894), una Rf basada en el bono en pesos (~CLP 2.439) y otros objetivos de deuda (DCF de CLP 1.819 a 1.894) llevan a la misma conclusión (Anexo 18).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en pesos (5,43%) y además sumar el riesgo país contaría dos veces el riesgo Chile, y aun así el precio objetivo solo subiría a ~CLP 2.439, 31% bajo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UST 10Y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 que vigilaremos: la tasación de la Nota 11 en cada cierre (la tasa real de descuento es el puente entre nuestro valor y el libro), el spread del bono UF de la compañía frente a su cupón de 3,6% (con la tasa efectiva de 4,33% de la última emisión, la WACC subiría 12 pb y el precio objetivo bajaría a CLP 2.042), la rebaja del impuesto corporativo a 23% (+5,1% al precio objetivo, aún no incluida) y la clasificación AAA, que probablemente quedaría bajo presión con 3,5x de DFN/EBITDA.</w:t>
      </w:r>
    </w:p>
    <w:p>
      <w:pPr>
        <w:keepNext w:val="false"/>
        <w:spacing w:before="12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Capital de trabajo: un supuesto que no mueve el precio (±1,2%)</w:t>
            </w:r>
          </w:p>
          <w:p>
            <w:pPr>
              <w:keepNext w:val="false"/>
              <w:spacing w:after="20" w:before="0" w:line="240" w:lineRule="auto"/>
              <w:jc w:val="center"/>
            </w:pPr>
            <w:r>
              <w:drawing>
                <wp:inline distT="0" distB="0" distL="0" distR="0">
                  <wp:extent cx="32575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5755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EEFF Mallplaza;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Crecer bajo la WACC destruye valor: g real = 0%</w:t>
            </w:r>
          </w:p>
          <w:p>
            <w:pPr>
              <w:keepNext w:val="false"/>
              <w:spacing w:after="20" w:before="0" w:line="240" w:lineRule="auto"/>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Arriba: valor DCF según g. Abajo: valor terminal relativo según el RONIC. Fuente: análisis del equipo.</w:t>
            </w:r>
          </w:p>
        </w:tc>
      </w:tr>
      <w:tr>
        <w:trPr>
          <w:cantSplit/>
        </w:trPr>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Chile y Brasil cobran la misma prima: los múltiplos difieren por las tasas</w:t>
            </w:r>
          </w:p>
          <w:p>
            <w:pPr>
              <w:keepNext w:val="false"/>
              <w:spacing w:after="20" w:before="0" w:line="240" w:lineRule="auto"/>
              <w:jc w:val="center"/>
            </w:pPr>
            <w:r>
              <w:drawing>
                <wp:inline distT="0" distB="0" distL="0" distR="0">
                  <wp:extent cx="26003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600325"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 real: UF 10 años (BCCh) y NTN-B 2035 (8,08%) al 30-06-26. Spread = cap rate (1 / EV/EBITDA) − bono real. IRSA se omite (NIC 29). Fuente: Bloomberg; BCCh;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Valor implícito por múltiplo de cada par vs DCF y precio (CLP por acción)</w:t>
            </w:r>
          </w:p>
          <w:p>
            <w:pPr>
              <w:keepNext w:val="false"/>
              <w:spacing w:after="20" w:before="0" w:line="240" w:lineRule="auto"/>
              <w:jc w:val="center"/>
            </w:pPr>
            <w:r>
              <w:drawing>
                <wp:inline distT="0" distB="0" distL="0" distR="0">
                  <wp:extent cx="3009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0099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 objetivo = 80% DCF + 20% EV/EBITDA LTM. P/E excluido (incluye revalorización). Fuente: Bloomberg (30-09-26); análisis del equipo.</w:t>
            </w:r>
          </w:p>
        </w:tc>
      </w:tr>
      <w:tr>
        <w:trPr>
          <w:cantSplit/>
        </w:trPr>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El mercado paga 6,0%; nuestros flujos valen 10,1%</w:t>
            </w:r>
          </w:p>
          <w:p>
            <w:pPr>
              <w:keepNext w:val="false"/>
              <w:spacing w:after="20" w:before="0" w:line="240" w:lineRule="auto"/>
              <w:jc w:val="center"/>
            </w:pPr>
            <w:r>
              <w:drawing>
                <wp:inline distT="0" distB="0" distL="0" distR="0">
                  <wp:extent cx="33147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14700" cy="21526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hecho posterior, no entra al modelo. Fuente: Mallplaza; Bloomberg; DF;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precio exige una WACC 285 pb menor</w:t>
            </w:r>
          </w:p>
          <w:p>
            <w:pPr>
              <w:keepNext w:val="false"/>
              <w:spacing w:after="20" w:before="0" w:line="240" w:lineRule="auto"/>
              <w:jc w:val="center"/>
            </w:pPr>
            <w:r>
              <w:drawing>
                <wp:inline distT="0" distB="0" distL="0" distR="0">
                  <wp:extent cx="33147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314700" cy="23526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análisis del equipo.</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RIESGOS DE INVERSIÓN</w:t>
      </w:r>
    </w:p>
    <w:p>
      <w:pPr>
        <w:keepNext w:val="false"/>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EVALUACIÓN DE RIESGOS</w:t>
            </w:r>
          </w:p>
          <w:p>
            <w:pPr>
              <w:keepNext w:val="false"/>
              <w:spacing w:after="40" w:before="0" w:line="228" w:lineRule="auto"/>
              <w:jc w:val="both"/>
            </w:pPr>
            <w:r>
              <w:rPr>
                <w:rFonts w:ascii="Arial" w:cs="Arial" w:eastAsia="Arial" w:hAnsi="Arial"/>
                <w:color w:val="1A1A1A"/>
                <w:sz w:val="16"/>
                <w:szCs w:val="16"/>
              </w:rPr>
              <w:t xml:space="preserve">La Figura 27 clasifica cada riesgo según su probabilidad y su impacto sobre el valor por acción (Figuras 28 a 26). Los riesgos que no se pudieron cuantificar se clasifican según el análisis cualitativo del equipo sobre la empresa.</w:t>
            </w:r>
          </w:p>
          <w:p>
            <w:pPr>
              <w:keepNext w:val="false"/>
              <w:pBdr>
                <w:bottom w:val="single" w:color="E9004B" w:sz="8" w:space="1"/>
              </w:pBdr>
              <w:spacing w:after="50" w:before="110"/>
            </w:pPr>
            <w:r>
              <w:rPr>
                <w:rFonts w:ascii="Arial" w:cs="Arial" w:eastAsia="Arial" w:hAnsi="Arial"/>
                <w:b/>
                <w:bCs/>
                <w:color w:val="14284B"/>
                <w:sz w:val="16"/>
                <w:szCs w:val="16"/>
              </w:rPr>
              <w:t xml:space="preserve">RIESGOS OPERACIONALES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28). </w:t>
            </w:r>
            <w:r>
              <w:rPr>
                <w:rFonts w:ascii="Arial" w:cs="Arial" w:eastAsia="Arial" w:hAnsi="Arial"/>
                <w:i/>
                <w:iCs/>
                <w:color w:val="5F5F5F"/>
                <w:sz w:val="16"/>
                <w:szCs w:val="16"/>
              </w:rPr>
              <w:t xml:space="preserve">(No 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28). </w:t>
            </w:r>
            <w:r>
              <w:rPr>
                <w:rFonts w:ascii="Arial" w:cs="Arial" w:eastAsia="Arial" w:hAnsi="Arial"/>
                <w:i/>
                <w:iCs/>
                <w:color w:val="5F5F5F"/>
                <w:sz w:val="16"/>
                <w:szCs w:val="16"/>
              </w:rPr>
              <w:t xml:space="preserve">(No sistemático · Prob. baja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val="false"/>
              <w:pBdr>
                <w:bottom w:val="single" w:color="E9004B" w:sz="8" w:space="1"/>
              </w:pBdr>
              <w:spacing w:after="50" w:before="110"/>
            </w:pPr>
            <w:r>
              <w:rPr>
                <w:rFonts w:ascii="Arial" w:cs="Arial" w:eastAsia="Arial" w:hAnsi="Arial"/>
                <w:b/>
                <w:bCs/>
                <w:color w:val="14284B"/>
                <w:sz w:val="16"/>
                <w:szCs w:val="16"/>
              </w:rPr>
              <w:t xml:space="preserve">RIESGOS FINANCIEROS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29). </w:t>
            </w:r>
            <w:r>
              <w:rPr>
                <w:rFonts w:ascii="Arial" w:cs="Arial" w:eastAsia="Arial" w:hAnsi="Arial"/>
                <w:i/>
                <w:iCs/>
                <w:color w:val="5F5F5F"/>
                <w:sz w:val="16"/>
                <w:szCs w:val="16"/>
              </w:rPr>
              <w:t xml:space="preserve">(Sistemático · Prob. alta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keepNext w:val="false"/>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30). El riesgo está en que un menor consumo impida traspasar la UF a las rentas: sin ese traspaso, la UF +3% resta 0,9% al precio objetivo. Un menor consumo también frena las nuevas líneas de negocio (Anexo 20). </w:t>
            </w:r>
            <w:r>
              <w:rPr>
                <w:rFonts w:ascii="Arial" w:cs="Arial" w:eastAsia="Arial" w:hAnsi="Arial"/>
                <w:i/>
                <w:iCs/>
                <w:color w:val="5F5F5F"/>
                <w:sz w:val="16"/>
                <w:szCs w:val="16"/>
              </w:rPr>
              <w:t xml:space="preserve">(Sistemático · Prob. alta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28). </w:t>
            </w:r>
            <w:r>
              <w:rPr>
                <w:rFonts w:ascii="Arial" w:cs="Arial" w:eastAsia="Arial" w:hAnsi="Arial"/>
                <w:i/>
                <w:iCs/>
                <w:color w:val="5F5F5F"/>
                <w:sz w:val="16"/>
                <w:szCs w:val="16"/>
              </w:rPr>
              <w:t xml:space="preserve">(Sistemático · Prob. baja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val="false"/>
              <w:pBdr>
                <w:bottom w:val="single" w:color="E9004B" w:sz="8" w:space="1"/>
              </w:pBdr>
              <w:spacing w:after="50" w:before="110"/>
            </w:pPr>
            <w:r>
              <w:rPr>
                <w:rFonts w:ascii="Arial" w:cs="Arial" w:eastAsia="Arial" w:hAnsi="Arial"/>
                <w:b/>
                <w:bCs/>
                <w:color w:val="14284B"/>
                <w:sz w:val="16"/>
                <w:szCs w:val="16"/>
              </w:rPr>
              <w:t xml:space="preserve">RIESGOS REGULATORIOS Y ESG</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Matriz de riesgos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Color de fondo = severidad (probabilidad × impacto). Fuente: análisis del equipo.</w:t>
            </w:r>
          </w:p>
          <w:p>
            <w:pPr>
              <w:keepNext w:val="false"/>
              <w:spacing w:after="30" w:before="10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Tornado de riesgo operacional (CLP por acción)</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keepNext w:val="false"/>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Sensibilidad del precio objetivo: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keepNext w:val="false"/>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a un alza de la UF (CLP por acción)</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p>
      <w:pPr>
        <w:keepNext w:val="false"/>
        <w:spacing w:before="1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0666"/>
      </w:tblGrid>
      <w:tr>
        <w:trPr>
          <w:cantSplit/>
        </w:trPr>
        <w:tc>
          <w:tcPr>
            <w:tcW w:type="dxa" w:w="1066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RESUMEN DE INVERSIÓN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PENDIENTE DE REDACCIÓN</w:t>
                  </w:r>
                </w:p>
                <w:p>
                  <w:pPr>
                    <w:keepNext w:val="false"/>
                    <w:spacing w:after="60"/>
                  </w:pPr>
                  <w:r>
                    <w:rPr>
                      <w:rFonts w:ascii="Arial" w:cs="Arial" w:eastAsia="Arial" w:hAnsi="Arial"/>
                      <w:i/>
                      <w:iCs/>
                      <w:color w:val="5F5F5F"/>
                      <w:sz w:val="16"/>
                      <w:szCs w:val="16"/>
                    </w:rPr>
                    <w:t xml:space="preserve">Recomendación y precio objetivo · Tesis de inversión · Resumen de la valuación · Catalizadores · Riesgos principales.</w:t>
                  </w:r>
                </w:p>
                <w:p>
                  <w:pPr>
                    <w:keepNext w:val="false"/>
                    <w:spacing w:after="60"/>
                  </w:pPr>
                  <w:r>
                    <w:rPr>
                      <w:rFonts w:ascii="Arial" w:cs="Arial" w:eastAsia="Arial" w:hAnsi="Arial"/>
                      <w:i/>
                      <w:iCs/>
                      <w:color w:val="5F5F5F"/>
                      <w:sz w:val="16"/>
                      <w:szCs w:val="16"/>
                    </w:rPr>
                    <w:t xml:space="preserve">Sección por redactar por el equipo; los datos clave de la derecha ya salen de los modelos.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DATOS CLAVE</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Recomendación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VENDER</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objetivo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Potencial</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Valor DCF / múltiplos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Ponderación DCF / múltiplos</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Capitalización (CLP mil MM)</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Rango 52 semanas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Dividendo esperado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DFN / EBITDA UDM 2T26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Fuente: modelo de valoración v2; Bloomberg (rango 52 semanas); análisis del equipo.</w:t>
                  </w:r>
                </w:p>
              </w:tc>
            </w:tr>
          </w:tbl>
          <w:p>
            <w:pPr>
              <w:keepNext w:val="false"/>
            </w:pPr>
          </w:p>
        </w:tc>
      </w:tr>
    </w:tbl>
    <w:p>
      <w:pPr>
        <w:sectPr>
          <w:headerReference w:type="default" r:id="rId7"/>
          <w:footerReference w:type="default" r:id="rId8"/>
          <w:type w:val="nextPage"/>
          <w:pgSz w:w="11906" w:h="16838" w:orient="portrait"/>
          <w:pgMar w:top="1000" w:right="620" w:bottom="900" w:left="620" w:header="450" w:footer="40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3: </w:t>
            </w:r>
            <w:r>
              <w:rPr>
                <w:rFonts w:ascii="Arial" w:cs="Arial" w:eastAsia="Arial" w:hAnsi="Arial"/>
                <w:color w:val="14284B"/>
                <w:sz w:val="14"/>
                <w:szCs w:val="14"/>
              </w:rPr>
              <w:t xml:space="preserve">Pipeline de GLA 2026-2028: orgánico vs adquisiciones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y Memoria 2025 de Plaza S.A.; Parque Arauco Investor Presentation 2Q26; Cenco Malls Corporate Presentation 2Q26. Solo proyectos con fecha.</w:t>
            </w:r>
          </w:p>
          <w:p>
            <w:pPr>
              <w:keepNext w:val="false"/>
              <w:keepLines/>
              <w:spacing w:after="20" w:before="90" w:line="240" w:lineRule="auto"/>
            </w:pPr>
            <w:r>
              <w:rPr>
                <w:rFonts w:ascii="Arial" w:cs="Arial" w:eastAsia="Arial" w:hAnsi="Arial"/>
                <w:b/>
                <w:bCs/>
                <w:color w:val="14284B"/>
                <w:sz w:val="14"/>
                <w:szCs w:val="14"/>
              </w:rPr>
              <w:t xml:space="preserve">Anexo 5: </w:t>
            </w:r>
            <w:r>
              <w:rPr>
                <w:rFonts w:ascii="Arial" w:cs="Arial" w:eastAsia="Arial" w:hAnsi="Arial"/>
                <w:color w:val="14284B"/>
                <w:sz w:val="14"/>
                <w:szCs w:val="14"/>
              </w:rPr>
              <w:t xml:space="preserve">Participación de mercado dentro del trío en Chile, 2T22-2T26 (% del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4: </w:t>
            </w:r>
            <w:r>
              <w:rPr>
                <w:rFonts w:ascii="Arial" w:cs="Arial" w:eastAsia="Arial" w:hAnsi="Arial"/>
                <w:color w:val="14284B"/>
                <w:sz w:val="14"/>
                <w:szCs w:val="14"/>
              </w:rPr>
              <w:t xml:space="preserve">Tasa de ocupación consolidada, 2T22-2T26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Cada empresa define la ocupación distinto; Mallplaza incluye Open Plaza desde 2T25.</w:t>
            </w:r>
          </w:p>
        </w:tc>
      </w:tr>
    </w:tbl>
    <w:p>
      <w:pPr>
        <w:keepNext w:val="false"/>
        <w:spacing w:after="30" w:before="140" w:line="228" w:lineRule="auto"/>
      </w:pPr>
      <w:r>
        <w:rPr>
          <w:rFonts w:ascii="Arial" w:cs="Arial" w:eastAsia="Arial" w:hAnsi="Arial"/>
          <w:b/>
          <w:bCs/>
          <w:color w:val="14284B"/>
          <w:sz w:val="14"/>
          <w:szCs w:val="14"/>
        </w:rPr>
        <w:t xml:space="preserve">Anexo 6: </w:t>
      </w:r>
      <w:r>
        <w:rPr>
          <w:rFonts w:ascii="Arial" w:cs="Arial" w:eastAsia="Arial" w:hAnsi="Arial"/>
          <w:color w:val="14284B"/>
          <w:sz w:val="14"/>
          <w:szCs w:val="14"/>
        </w:rPr>
        <w:t xml:space="preserve">Cinco fuerzas de Porter por país y evidencia principal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Fuerza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Perú</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Evidencia principal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Rivalidad</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carrera de reinversión en experiencia; compra de activos (Minka, Plaza Central; anunciadas Quilín y Chicureo); oferta sobre consumo en 2027-28. Participaciones estables y márgenes de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Nuevos entrantes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locatarios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proveedores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Sustitutos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Escala 1-5 en números enteros; nota final = promedio ponderado por GLA de Mallplaza al 2Q26 (Chile 61,9%, Perú 26,2%, Colombia 11,9%), redondeado al entero. En nuevos entrantes el ponderado queda en el límite (1,5) y el equipo lo fija en 2 por las menores barreras de entrada en Perú y Colombia. Detalle y fuentes por dato en Porter_industria_2Q26.xlsx.</w:t>
      </w:r>
    </w:p>
    <w:p>
      <w:pPr>
        <w:keepNext w:val="false"/>
        <w:spacing w:after="30" w:before="140" w:line="228" w:lineRule="auto"/>
      </w:pPr>
      <w:r>
        <w:rPr>
          <w:rFonts w:ascii="Arial" w:cs="Arial" w:eastAsia="Arial" w:hAnsi="Arial"/>
          <w:b/>
          <w:bCs/>
          <w:color w:val="14284B"/>
          <w:sz w:val="14"/>
          <w:szCs w:val="14"/>
        </w:rPr>
        <w:t xml:space="preserve">Anexo 7: </w:t>
      </w:r>
      <w:r>
        <w:rPr>
          <w:rFonts w:ascii="Arial" w:cs="Arial" w:eastAsia="Arial" w:hAnsi="Arial"/>
          <w:color w:val="14284B"/>
          <w:sz w:val="14"/>
          <w:szCs w:val="14"/>
        </w:rPr>
        <w:t xml:space="preserve">Supuestos principales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Tema</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es un piso.</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Oferta vs demanda</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por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Contratos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Perfil y duración ponderados por GLA: explícito en Cenco y en el perfil de Parque Arauco; supuesto para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Ventas reales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Fechas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keepNext w:val="false"/>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val="false"/>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keepNext w:val="false"/>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keepNext w:val="false"/>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Incumplimientos de la legislación y normativas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keepNext w:val="false"/>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Liderazgo</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Participación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keepNext w:val="false"/>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keepNext w:val="false"/>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Ancla 2026E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Ocupación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del pipeline</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rampa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proyectos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post-2028</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al año desde 2029E (55% Chile / 45% Perú); USD 3.603/m² indexado a IPC, 50% en t−2 y 50% en t−1; margen EBITDA 80,9%; yield on cost 6,9%</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orgánico promedio 2022, 2023, 2025; costo por 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Tipo de cambio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Margen EBITDA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2024–UDM 2T26; no se extrapola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de los ingresos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UDM 2T26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en caja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corriente 1S26; escudos se agotan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de proyectos</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 MM restantes a jun-26, repartidos hasta la apertura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Mantención + TI</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de los ingresos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Apalancamiento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de la deuda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 MM UDM vs 55,2 MM en 2023), Gran Plaza; proyectos sin fecha en Chile reemplazados por la expansión post-2028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Sin fecha o inmaterial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y equivalentes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totales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financiera bruta</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por impuesto diferido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Patrimonio atribuible</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las líneas de financiamiento 2022 no están en los archivos usados. Fuente: EEFF Plaza S.A. (CMF) dic-24, dic-25,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Costos operativos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Apalancamiento jun-26 sobre EBITDA UDM; costos operativos = costo de ventas + administración (1S26). Días de cobro dic-24 n.s. (Perú consolida un mes). Los retornos a jun-26 requieren el balance de jun-25. Fuente: EEFF (CMF); Análisis Razonado 1S26; análisis del equipo.</w:t>
            </w:r>
          </w:p>
          <w:p>
            <w:pPr>
              <w:keepNext w:val="false"/>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Perú</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Eliminaciones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expansión post-2028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Ingresos</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Tasa de impuesto en caja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mantención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expansión post-2028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capital de trabajo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ordinarios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Distribuciones adicionales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1S26 real + 2S26E; el capex incluye CLP 84,2 mil MM gastados en 1S26; Δ capital de trabajo y distribuciones adicionales cubren solo 2S26E. FFO = (EBITDA − costo financiero neto) × (1 − impuesto en caja), antes de minoritarios (~1%); utilidad distribuible = FFO − reajuste UF. Fuente: modelo de valoración v2 (hojas DCF, Deuda y Expansion); análisis del equipo.</w:t>
            </w:r>
          </w:p>
          <w:p>
            <w:pPr>
              <w:keepNext w:val="false"/>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En base comparable,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propiedades de inversión</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normalizado con la utilidad distribuible auditada; pares con utilidad neta − revalorización × (1 − 27%). Las propiedades de Parque Arauco excluyen JV, lo que sobrestima su LTV. Fuente: EEFF (CMF); Bloomberg FA (PARAUCO CI, CENCOMAL CI; 28-sep-26); análisis del equipo.</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keepNext w:val="false"/>
        <w:shd w:fill="EEF1F6" w:color="auto" w:val="clear"/>
        <w:spacing w:after="40" w:line="216" w:lineRule="auto"/>
        <w:jc w:val="both"/>
      </w:pPr>
      <w:r>
        <w:rPr>
          <w:rFonts w:ascii="Arial" w:cs="Arial" w:eastAsia="Arial" w:hAnsi="Arial"/>
          <w:color w:val="1A1A1A"/>
          <w:sz w:val="15"/>
          <w:szCs w:val="15"/>
        </w:rPr>
        <w:t xml:space="preserve">FCFF en CLP nominales desde el 30-jun-26, con convención de mitad de período y la WACC de cada período (Anexo 19). El valor terminal usa el FCFF 2032E con g de 3,0% nominal (0% real, sin reinversión porque el RONIC queda bajo la WACC real) y la WACC terminal de 10,41%, e incluye 108.301 m² de GLA que maduran después de 2031. Explica el 76% del EV.</w:t>
      </w:r>
    </w:p>
    <w:p>
      <w:pPr>
        <w:keepNext w:val="false"/>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base (pipeline + mantención)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 reinversión terminal</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del período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Valor terminal al 31-dic-31: CLP 7.133.037 MM (cap rate implícito 10,1%; EV/EBITDA UDM implícito 9,9x). 2S26E: medio año. Fuente: modelo v2, hojas DCF y Sensibilidad; 2.190 MM de acciones.</w:t>
      </w:r>
    </w:p>
    <w:p>
      <w:pPr>
        <w:keepNext w:val="false"/>
        <w:pBdr>
          <w:bottom w:val="single" w:color="14284B" w:sz="18" w:space="2"/>
        </w:pBdr>
        <w:spacing w:after="80" w:before="260"/>
      </w:pPr>
      <w:r>
        <w:rPr>
          <w:rFonts w:ascii="Arial" w:cs="Arial" w:eastAsia="Arial" w:hAnsi="Arial"/>
          <w:b/>
          <w:bCs/>
          <w:color w:val="14284B"/>
          <w:sz w:val="30"/>
          <w:szCs w:val="30"/>
        </w:rPr>
        <w:t xml:space="preserve">ANEXO 16: SUPUESTOS DE LA PROYECCIÓN</w:t>
      </w:r>
    </w:p>
    <w:p>
      <w:pPr>
        <w:keepNext w:val="false"/>
        <w:shd w:fill="EEF1F6" w:color="auto" w:val="clear"/>
        <w:spacing w:after="40" w:line="216" w:lineRule="auto"/>
        <w:jc w:val="both"/>
      </w:pPr>
      <w:r>
        <w:rPr>
          <w:rFonts w:ascii="Arial" w:cs="Arial" w:eastAsia="Arial" w:hAnsi="Arial"/>
          <w:color w:val="1A1A1A"/>
          <w:sz w:val="15"/>
          <w:szCs w:val="15"/>
        </w:rPr>
        <w:t xml:space="preserve">El forecast base sigue el motor operativo del equipo (pipeline anunciado hasta 2028); desde 2029 se suma una expansión continua al ritmo histórico de apertura. Los ingresos 2026E son año calendario; el período 2S26E descuenta el 1S26 real (CLP 339.530 MM de ingresos).</w:t>
      </w:r>
    </w:p>
    <w:p>
      <w:pPr>
        <w:keepNext w:val="false"/>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 (USD MM)</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Capex base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en curso (Release 2Q26)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Desembolso del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ingresos</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Fuente: modelo v2, hojas Forecast_Base, Expansion, Capital_Trabajo y Supuestos (Release 2Q26; EEFF dic-25; Exhibits v6).</w:t>
      </w:r>
    </w:p>
    <w:p>
      <w:pPr>
        <w:keepNext w:val="false"/>
        <w:pBdr>
          <w:bottom w:val="single" w:color="14284B" w:sz="18" w:space="2"/>
        </w:pBdr>
        <w:spacing w:after="80" w:before="0"/>
      </w:pPr>
      <w:r>
        <w:rPr>
          <w:rFonts w:ascii="Arial" w:cs="Arial" w:eastAsia="Arial" w:hAnsi="Arial"/>
          <w:b/>
          <w:bCs/>
          <w:color w:val="14284B"/>
          <w:sz w:val="30"/>
          <w:szCs w:val="30"/>
        </w:rPr>
        <w:t xml:space="preserve">ANEXO 17: MÚLTIPLOS COMPARABLES</w:t>
      </w:r>
    </w:p>
    <w:p>
      <w:pPr>
        <w:keepNext w:val="false"/>
        <w:shd w:fill="EEF1F6" w:color="auto" w:val="clear"/>
        <w:spacing w:after="40" w:line="216" w:lineRule="auto"/>
        <w:jc w:val="both"/>
      </w:pPr>
      <w:r>
        <w:rPr>
          <w:rFonts w:ascii="Arial" w:cs="Arial" w:eastAsia="Arial" w:hAnsi="Arial"/>
          <w:color w:val="1A1A1A"/>
          <w:sz w:val="15"/>
          <w:szCs w:val="15"/>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val="false"/>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v2, hojas Comparables y Precio_Objetivo;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ANEXO 18: ESCENARIOS Y ROBUSTEZ</w:t>
      </w:r>
    </w:p>
    <w:p>
      <w:pPr>
        <w:keepNext w:val="false"/>
        <w:shd w:fill="EEF1F6" w:color="auto" w:val="clear"/>
        <w:spacing w:after="40" w:line="216" w:lineRule="auto"/>
        <w:jc w:val="both"/>
      </w:pPr>
      <w:r>
        <w:rPr>
          <w:rFonts w:ascii="Arial" w:cs="Arial" w:eastAsia="Arial" w:hAnsi="Arial"/>
          <w:color w:val="1A1A1A"/>
          <w:sz w:val="15"/>
          <w:szCs w:val="15"/>
        </w:rPr>
        <w:t xml:space="preserve">Ningún escenario ni método alternativo alcanza el precio de CLP 3.555. Los escenarios se calculan con la réplica del DCF v2 (reproduce exactamente el valor base) y el precio objetivo mantiene el 80% DCF y el valor por múltiplos de CLP 2.951.</w:t>
      </w:r>
    </w:p>
    <w:p>
      <w:pPr>
        <w:keepNext w:val="false"/>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objetivo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en todos los períodos; margen EBITDA 75,8% (mínimo histórico) en vez de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Modelo v2: WACC 10,54% → 10,41%; g 3,0%; margen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g 2,5%; margen 81,3% (máximo histórico); impuesto en caja con techo de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Tasadores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implícita en el precio: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y bull: margen EBITDA del mínimo/máximo histórico (Earnings Releases 4Q23 y 3Q25) en todos los años; el bull no recalcula el escudo fiscal de la WACC. Fuente: réplica del DCF v2 (riesgos/graficos/tornado_operacional.py); modelo v2, hojas APV, Sensibilidad (tabla 2, estática) y DCF; Figuras_Valuacion, WACC_Construccion y V6.</w:t>
      </w:r>
    </w:p>
    <w:p>
      <w:pPr>
        <w:keepNext w:val="fals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keepNext w:val="false"/>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CRP ponderado</w:t>
      </w:r>
    </w:p>
    <w:p>
      <w:pPr>
        <w:keepNext w:val="false"/>
        <w:spacing w:after="10"/>
        <w:ind w:left="240"/>
      </w:pPr>
      <w:r>
        <w:rPr>
          <w:rFonts w:ascii="Arial" w:cs="Arial" w:eastAsia="Arial" w:hAnsi="Arial"/>
          <w:b/>
          <w:bCs/>
          <w:color w:val="14284B"/>
          <w:sz w:val="14"/>
          <w:szCs w:val="14"/>
        </w:rPr>
        <w:t xml:space="preserve">Ke CLP = (1 + Ke USD) × (1 + π Chile) / (1 + π EE.UU.) − 1</w:t>
      </w:r>
    </w:p>
    <w:p>
      <w:pPr>
        <w:keepNext w:val="false"/>
        <w:spacing w:after="10"/>
        <w:ind w:left="240"/>
      </w:pPr>
      <w:r>
        <w:rPr>
          <w:rFonts w:ascii="Arial" w:cs="Arial" w:eastAsia="Arial" w:hAnsi="Arial"/>
          <w:b/>
          <w:bCs/>
          <w:color w:val="14284B"/>
          <w:sz w:val="14"/>
          <w:szCs w:val="14"/>
        </w:rPr>
        <w:t xml:space="preserve">Kd CLP = (1 + Kd real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keepNext w:val="false"/>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keepNext w:val="false"/>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keepNext w:val="false"/>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p>
      <w:pPr>
        <w:keepNext w:val="false"/>
      </w:pPr>
      <w:r>
        <w:br w:type="page"/>
      </w:r>
    </w:p>
    <w:p>
      <w:pPr>
        <w:keepNext w:val="false"/>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keepNext w:val="false"/>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promedio sep-26</w:t>
            </w:r>
          </w:p>
          <w:p>
            <w:pPr>
              <w:keepNext w:val="false"/>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UST 10Y, 8-oct-26</w:t>
            </w:r>
          </w:p>
          <w:p>
            <w:pPr>
              <w:keepNext w:val="false"/>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pb</w:t>
            </w:r>
          </w:p>
          <w:p>
            <w:pPr>
              <w:keepNext w:val="false"/>
              <w:spacing w:after="10" w:line="216" w:lineRule="auto"/>
            </w:pPr>
            <w:r>
              <w:rPr>
                <w:rFonts w:ascii="Arial" w:cs="Arial" w:eastAsia="Arial" w:hAnsi="Arial"/>
                <w:b/>
                <w:bCs/>
                <w:color w:val="14284B"/>
                <w:sz w:val="13"/>
                <w:szCs w:val="13"/>
              </w:rPr>
              <w:t xml:space="preserve">Spread Francia–Alemania</w:t>
            </w:r>
          </w:p>
          <w:p>
            <w:pPr>
              <w:keepNext w:val="false"/>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FMI 2026: PIB | inflación</w:t>
            </w:r>
          </w:p>
          <w:p>
            <w:pPr>
              <w:keepNext w:val="false"/>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PIB Chile 2026 (BCCh)</w:t>
            </w:r>
          </w:p>
          <w:p>
            <w:pPr>
              <w:keepNext w:val="false"/>
              <w:spacing w:after="0" w:line="216" w:lineRule="auto"/>
            </w:pPr>
            <w:r>
              <w:rPr>
                <w:rFonts w:ascii="Arial" w:cs="Arial" w:eastAsia="Arial" w:hAnsi="Arial"/>
                <w:color w:val="5F5F5F"/>
                <w:sz w:val="12"/>
                <w:szCs w:val="12"/>
              </w:rPr>
              <w:t xml:space="preserve">desde 2–3% proyectado en dic-25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keepNext w:val="false"/>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 cifras de las Figuras 28–30 del informe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keepNext w:val="false"/>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keepNext w:val="false"/>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keepNext w:val="false"/>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keepNext w:val="false"/>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keepNext w:val="false"/>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keepNext w:val="false"/>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de utilidad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pb = precio objetivo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tráfico −1,3% / +2,4% del valor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pb: precio objetivo de CLP 2.076 a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 tráfico y ventas; presión sobre la ocupación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headerReference w:type="default" r:id="rId9"/>
      <w:footerReference w:type="default" r:id="rId10"/>
      <w:type w:val="nextPage"/>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4ba9315e797149d5131110a457c52ed8e3f19d3.png"/><Relationship Id="rId12" Type="http://schemas.openxmlformats.org/officeDocument/2006/relationships/image" Target="media/34532f7c30c17d6314684a916c3bfde3999b7416.png"/><Relationship Id="rId13" Type="http://schemas.openxmlformats.org/officeDocument/2006/relationships/image" Target="media/7740e404b19cbf777a033b14c42409a022747a72.png"/><Relationship Id="rId14" Type="http://schemas.openxmlformats.org/officeDocument/2006/relationships/image" Target="media/f15c089be8e0d753539f6f9eeefa3fe9c0bc4f68.png"/><Relationship Id="rId15" Type="http://schemas.openxmlformats.org/officeDocument/2006/relationships/image" Target="media/0cebf95ed6b1035d4fc1453eaa063682bfc6d832.png"/><Relationship Id="rId16" Type="http://schemas.openxmlformats.org/officeDocument/2006/relationships/image" Target="media/b21d50f01ceb50050bb1fcd3d7e05774045c60c5.png"/><Relationship Id="rId17" Type="http://schemas.openxmlformats.org/officeDocument/2006/relationships/image" Target="media/ed411ba3c606390f872c40f1b4caf70649f76480.png"/><Relationship Id="rId18" Type="http://schemas.openxmlformats.org/officeDocument/2006/relationships/image" Target="media/bb229cbba7c93bbcdce30a13122f93af2ad5370c.png"/><Relationship Id="rId19" Type="http://schemas.openxmlformats.org/officeDocument/2006/relationships/image" Target="media/8fe419fd582c8d631f848117014dd8fdfe47e661.png"/><Relationship Id="rId20" Type="http://schemas.openxmlformats.org/officeDocument/2006/relationships/image" Target="media/4bc2b50fc361b46958993af72b6fed0f46eec7a4.png"/><Relationship Id="rId21" Type="http://schemas.openxmlformats.org/officeDocument/2006/relationships/image" Target="media/b0111e7433e81502552964a66525843934b6bbcb.png"/><Relationship Id="rId22" Type="http://schemas.openxmlformats.org/officeDocument/2006/relationships/image" Target="media/3ffdba50826c0f47161d8972132ca5b20b0dbd4e.png"/><Relationship Id="rId23" Type="http://schemas.openxmlformats.org/officeDocument/2006/relationships/image" Target="media/7d8204fda84a881810f270fea79de3fb869b95ea.png"/><Relationship Id="rId24" Type="http://schemas.openxmlformats.org/officeDocument/2006/relationships/image" Target="media/1c1b905e7784077b546c946da99ba143a175872b.png"/><Relationship Id="rId25" Type="http://schemas.openxmlformats.org/officeDocument/2006/relationships/image" Target="media/c56e3105f1791428290fa44aea05f2c406719a25.png"/><Relationship Id="rId26" Type="http://schemas.openxmlformats.org/officeDocument/2006/relationships/image" Target="media/78fd8a3b95d09da84d6f02bcf7058100a332498a.png"/><Relationship Id="rId27" Type="http://schemas.openxmlformats.org/officeDocument/2006/relationships/image" Target="media/1d9a00e71859a315af64a6732f0ba93bf8e1e282.png"/><Relationship Id="rId28" Type="http://schemas.openxmlformats.org/officeDocument/2006/relationships/image" Target="media/b6ad38b50f96473e1c95db300a0891d50e013037.png"/><Relationship Id="rId29" Type="http://schemas.openxmlformats.org/officeDocument/2006/relationships/image" Target="media/04fb2f47d0c2a10e8504a929c26d8d31ae4b5144.png"/><Relationship Id="rId30" Type="http://schemas.openxmlformats.org/officeDocument/2006/relationships/image" Target="media/c7060131278eba50ab0a6b4e4b2960b3ce4706aa.png"/><Relationship Id="rId31" Type="http://schemas.openxmlformats.org/officeDocument/2006/relationships/image" Target="media/03d5d8833b5c2cb5bd07e46a37d802973eaa624a.png"/><Relationship Id="rId32" Type="http://schemas.openxmlformats.org/officeDocument/2006/relationships/image" Target="media/e2ccf62f48e92e82e3d897a5379bf2c580267fad.png"/><Relationship Id="rId33" Type="http://schemas.openxmlformats.org/officeDocument/2006/relationships/image" Target="media/0897f311e5cbffecbbe06a7ec01f09ab8e5e0710.png"/><Relationship Id="rId34" Type="http://schemas.openxmlformats.org/officeDocument/2006/relationships/image" Target="media/6126286bee20cf8b01464e351d7a26ba2dd68ffb.png"/><Relationship Id="rId35" Type="http://schemas.openxmlformats.org/officeDocument/2006/relationships/image" Target="media/3964fb994282e9090b06f98a92091ef0c025b273.png"/><Relationship Id="rId36" Type="http://schemas.openxmlformats.org/officeDocument/2006/relationships/image" Target="media/c186a4abce57fb872cd303c60ab1117ebc25455f.png"/><Relationship Id="rId37" Type="http://schemas.openxmlformats.org/officeDocument/2006/relationships/image" Target="media/806bcde468984aadc88cffb24a22441c8f646a4a.png"/><Relationship Id="rId38" Type="http://schemas.openxmlformats.org/officeDocument/2006/relationships/image" Target="media/bf577d13a0a682b653e02a9c3ca9b3cb35eae0f3.png"/><Relationship Id="rId39" Type="http://schemas.openxmlformats.org/officeDocument/2006/relationships/image" Target="media/6e4680ecbf0aa76ff00a7a0ea476ccf717a865f6.png"/><Relationship Id="rId40" Type="http://schemas.openxmlformats.org/officeDocument/2006/relationships/image" Target="media/4609d9854ebb5b18f53a96249b39f91c7e2c04ad.png"/><Relationship Id="rId41" Type="http://schemas.openxmlformats.org/officeDocument/2006/relationships/image" Target="media/3b142e586c3e5210e292c0bd5ee719159683478e.png"/><Relationship Id="rId42" Type="http://schemas.openxmlformats.org/officeDocument/2006/relationships/image" Target="media/438682b6a2423995622f6a04ae6a9ebde6b1b73c.png"/><Relationship Id="rId43" Type="http://schemas.openxmlformats.org/officeDocument/2006/relationships/image" Target="media/ff2104c08e4ce6fa65fd948e42737135974bf6c7.png"/><Relationship Id="rId44" Type="http://schemas.openxmlformats.org/officeDocument/2006/relationships/image" Target="media/68d45e370e4ab8a3c4bafdcf440cb34d293a9255.png"/><Relationship Id="rId45" Type="http://schemas.openxmlformats.org/officeDocument/2006/relationships/image" Target="media/3fe8812a3136aa29736494e44ab849dc7868369a.png"/><Relationship Id="rId46" Type="http://schemas.openxmlformats.org/officeDocument/2006/relationships/image" Target="media/a1d8382ea339674a86ad98c542df97d034942bd7.png"/><Relationship Id="rId47" Type="http://schemas.openxmlformats.org/officeDocument/2006/relationships/image" Target="media/dbaedb451f19eb2ab39541b003ff01e6177ade9c.png"/><Relationship Id="rId48" Type="http://schemas.openxmlformats.org/officeDocument/2006/relationships/image" Target="media/b6d2ae5f89549048d7c9582bcdc25f29ceb9fdcd.png"/><Relationship Id="rId49" Type="http://schemas.openxmlformats.org/officeDocument/2006/relationships/image" Target="media/b37f9670dd9b87d723848d2dd6de478ef16272e2.png"/><Relationship Id="rId50" Type="http://schemas.openxmlformats.org/officeDocument/2006/relationships/image" Target="media/a8802a15131acf6d8cfb6d2b23415df3be75356e.png"/><Relationship Id="rId51" Type="http://schemas.openxmlformats.org/officeDocument/2006/relationships/image" Target="media/339b3b3fea9fdc23356260d546ff3bd5cd9a17b1.png"/><Relationship Id="rId52" Type="http://schemas.openxmlformats.org/officeDocument/2006/relationships/image" Target="media/53969dddf59bc1c8f16c396151f494cd3593db61.png"/><Relationship Id="rId53" Type="http://schemas.openxmlformats.org/officeDocument/2006/relationships/image" Target="media/30cd18c8e68475a6e62bd49f65e7c79a20aa9d06.png"/><Relationship Id="rId54" Type="http://schemas.openxmlformats.org/officeDocument/2006/relationships/image" Target="media/71234321f10eba3adcbbd976d76091adc5da5213.png"/><Relationship Id="rId55" Type="http://schemas.openxmlformats.org/officeDocument/2006/relationships/image" Target="media/ee3ce46107e934bd3d11829fefbef3a94a67d56d.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2026-10-14T20:43:13.252Z</dcterms:created>
  <dcterms:modified xsi:type="dcterms:W3CDTF">2026-10-14T20:43:13.252Z</dcterms:modified>
</cp:coreProperties>
</file>

<file path=docProps/custom.xml><?xml version="1.0" encoding="utf-8"?>
<Properties xmlns="http://schemas.openxmlformats.org/officeDocument/2006/custom-properties" xmlns:vt="http://schemas.openxmlformats.org/officeDocument/2006/docPropsVTypes"/>
</file>