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is the largest shopping-center operator in the Andean region: 37 centers and 2.36 million m² of GLA in Chile, Peru and Colombia. 81.4% of its revenue is rent and 93% of that is fixed and UF-indexed in Chile; the last-twelve-months (LTM) EBITDA margin is 80.5%. It is an excellent business, but at CLP 3,555 (30-Sep-26) the market prices it as if its cash flows were nearly risk-free. Weighting a DCF (CLP 1,859) at 80% and peer multiples (CLP 2,951) at 20%, the target price is CLP 2,077 (−41.6% versus the price) and we recommend SELL. Our disagreement with the market is not about cash flows but about the discount rate: the price requires a nominal CLP WACC of 7.60% (4.5% real, in UF), 281 bp below our nominal WACC of 10.41% (7.2% real), and a real cap rate (LTM EBITDA over enterprise value) of 6.0% against the 10.1% implied by our cash flows. Growth does not rescue the price: the real after-tax return on the cost of a new m² (RONIC) is 5.3%, below the real WACC of 7.2%. Neither the bull case, in which everything goes right (CLP 2,915), nor the appraisers' rate (CLP 2,734) reaches the share price. What would break the thesis is a further compression of long-term rates or a structural premium for Tier A assets; a rise in rates, by contrast, reinforces it.</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876"/>
        <w:gridCol w:w="2876"/>
        <w:gridCol w:w="2876"/>
        <w:gridCol w:w="2876"/>
      </w:tblGrid>
      <w:tr>
        <w:tc>
          <w:tcPr>
            <w:tcW w:type="dxa" w:w="287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Recommendation</w:t>
            </w:r>
          </w:p>
          <w:p>
            <w:pPr>
              <w:keepNext w:val="false"/>
              <w:jc w:val="center"/>
            </w:pPr>
            <w:r>
              <w:rPr>
                <w:rFonts w:ascii="Arial" w:cs="Arial" w:eastAsia="Arial" w:hAnsi="Arial"/>
                <w:b/>
                <w:bCs/>
                <w:color w:val="FFFFFF"/>
                <w:sz w:val="26"/>
                <w:szCs w:val="26"/>
              </w:rPr>
              <w:t xml:space="preserve">SELL</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Target price</w:t>
            </w:r>
          </w:p>
          <w:p>
            <w:pPr>
              <w:keepNext w:val="false"/>
              <w:jc w:val="center"/>
            </w:pPr>
            <w:r>
              <w:rPr>
                <w:rFonts w:ascii="Arial" w:cs="Arial" w:eastAsia="Arial" w:hAnsi="Arial"/>
                <w:b/>
                <w:bCs/>
                <w:color w:val="FFFFFF"/>
                <w:sz w:val="26"/>
                <w:szCs w:val="26"/>
              </w:rPr>
              <w:t xml:space="preserve">CLP 2,077</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Price (30-Sep-26)</w:t>
            </w:r>
          </w:p>
          <w:p>
            <w:pPr>
              <w:keepNext w:val="false"/>
              <w:jc w:val="center"/>
            </w:pPr>
            <w:r>
              <w:rPr>
                <w:rFonts w:ascii="Arial" w:cs="Arial" w:eastAsia="Arial" w:hAnsi="Arial"/>
                <w:b/>
                <w:bCs/>
                <w:color w:val="FFFFFF"/>
                <w:sz w:val="26"/>
                <w:szCs w:val="26"/>
              </w:rPr>
              <w:t xml:space="preserve">CLP 3,555</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Upside / downside</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BUSINESS DESCRIPTION</w:t>
      </w:r>
    </w:p>
    <w:p>
      <w:pPr>
        <w:keepNext/>
        <w:pBdr>
          <w:bottom w:val="single" w:color="E9004B" w:sz="8" w:space="1"/>
        </w:pBdr>
        <w:spacing w:after="50" w:before="110"/>
        <w:ind w:right="3766"/>
      </w:pPr>
      <w:r>
        <w:rPr>
          <w:rFonts w:ascii="Arial" w:cs="Arial" w:eastAsia="Arial" w:hAnsi="Arial"/>
          <w:b/>
          <w:bCs/>
          <w:color w:val="14284B"/>
          <w:sz w:val="16"/>
          <w:szCs w:val="16"/>
        </w:rPr>
        <w:t xml:space="preserve">FROM ONE MALL IN LA FLORIDA TO 37 URBAN CENTERS ACROSS THE ANDEAN REGION</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GLA by country (2Q26) and revenue by source (LTM to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(p.19) and Institutional Presentation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was founded in 1990 with Mallplaza Vespucio, built from the ground up in La Florida, and 35 years later it is one of the leading retail real estate players in the Andean Region, with 37 urban centers and 2.36 million m² of GLA across Chile, Peru and Colombia (Figure 1). It entered Peru in 2007 with Mallplaza Trujillo, listed on the Santiago Stock Exchange in 2018, and is currently controlled by Falabella S.A., which held a 53.1% stake as of December 2025. Its business remains the same as at inception: leasing m². Rent accounts for 81.4% of last-twelve-months (LTM) revenue, with the remainder coming from parking, commercial services and advertising. Because 93% of that rent is fixed and, in Chile, indexed to the UF, revenue is highly predictable and grows in real terms. In Chile, same-store rent (SSR, nominal) rose 6.5% LTM versus CPI of 4.3% (1Q23–2Q26: average SSR of 6.9% versus inflation of 4.8%), without straining tenants: consolidated occupancy cost (rent over tenant sales) is only 9.9%, nearly unchanged from a year earlier (9.7%).</w:t>
      </w:r>
    </w:p>
    <w:p>
      <w:pPr>
        <w:keepNext/>
        <w:pBdr>
          <w:bottom w:val="single" w:color="E9004B" w:sz="8" w:space="1"/>
        </w:pBdr>
        <w:spacing w:after="50" w:before="110"/>
        <w:ind w:right="3766"/>
      </w:pPr>
      <w:r>
        <w:rPr>
          <w:rFonts w:ascii="Arial" w:cs="Arial" w:eastAsia="Arial" w:hAnsi="Arial"/>
          <w:b/>
          <w:bCs/>
          <w:color w:val="14284B"/>
          <w:sz w:val="16"/>
          <w:szCs w:val="16"/>
        </w:rPr>
        <w:t xml:space="preserve">A CONSTANTLY REINVENTED TENANT MIX AND HIGH MARGINS BY DESIGN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pricing power rests on a renewed tenant mix. Department stores, which occupied 26.7% of GLA in 2020, fell to 19.0% in 2Q26 after Mallplaza converted roughly 146,000 m² of large-format stores since 2019 to brands such as IKEA, H&amp;M and Decathlon (Appendix 2). Today, 32.2% of GLA is devoted to essential retail and daily-traffic services (supermarkets, home improvement, public services, healthcare), which drive frequent visits, and another 21.5% to specialty retail. No single tenant dominates revenue: the top five tenants account for 18% and related parties for 15.7%. A lean cost structure adds to this: cost of sales is 6.2% of revenue and administrative expenses 13.9%, leaving an LTM EBITDA margin of 80.5%.</w:t>
      </w:r>
    </w:p>
    <w:p>
      <w:pPr>
        <w:keepNext/>
        <w:pBdr>
          <w:bottom w:val="single" w:color="E9004B" w:sz="8" w:space="1"/>
        </w:pBdr>
        <w:spacing w:after="50" w:before="110"/>
        <w:ind w:right="3766"/>
      </w:pPr>
      <w:r>
        <w:rPr>
          <w:rFonts w:ascii="Arial" w:cs="Arial" w:eastAsia="Arial" w:hAnsi="Arial"/>
          <w:b/>
          <w:bCs/>
          <w:color w:val="14284B"/>
          <w:sz w:val="16"/>
          <w:szCs w:val="16"/>
        </w:rPr>
        <w:t xml:space="preserve">VALUE IS CONCENTRATED IN 10 TIER A ASSETS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Growth is concentrated in its best assets. Ten centers, seven in Chile, two in Colombia and one in Peru, are Tier A, and with 46.4% of GLA they generate more than 60% of EBITDA (Appendix 1). Investment is directed toward them, as the expansions under construction at Trébol, Oeste, Norte, Trujillo and La Serena aim to lift Tier A assets to more than 70% of GLA. It is an excellent asset; the next question is how defensible its position is against competitors.</w:t>
      </w:r>
    </w:p>
    <w:p>
      <w:pPr>
        <w:keepNext/>
        <w:pBdr>
          <w:bottom w:val="single" w:color="14284B" w:sz="18" w:space="2"/>
        </w:pBdr>
        <w:spacing w:after="80" w:before="120"/>
        <w:ind w:right="3766"/>
      </w:pPr>
      <w:r>
        <w:rPr>
          <w:rFonts w:ascii="Arial" w:cs="Arial" w:eastAsia="Arial" w:hAnsi="Arial"/>
          <w:b/>
          <w:bCs/>
          <w:color w:val="14284B"/>
          <w:sz w:val="30"/>
          <w:szCs w:val="30"/>
        </w:rPr>
        <w:t xml:space="preserve">INDUSTRY OVERVIEW AND COMPETITIVE POSITIONING</w:t>
      </w:r>
    </w:p>
    <w:p>
      <w:pPr>
        <w:keepNext/>
        <w:pBdr>
          <w:bottom w:val="single" w:color="E9004B" w:sz="8" w:space="1"/>
        </w:pBdr>
        <w:spacing w:after="50" w:before="110"/>
        <w:ind w:right="3766"/>
      </w:pPr>
      <w:r>
        <w:rPr>
          <w:rFonts w:ascii="Arial" w:cs="Arial" w:eastAsia="Arial" w:hAnsi="Arial"/>
          <w:b/>
          <w:bCs/>
          <w:color w:val="14284B"/>
          <w:sz w:val="16"/>
          <w:szCs w:val="16"/>
        </w:rPr>
        <w:t xml:space="preserve">AN INDUSTRY THAT IS CONCENTRATED IN CHILE AND FRAGMENTED IN PERU AND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There is no total industry GLA: we use that of each country's main operators, and on that basis Mallplaza, Cenco Malls and Parque Arauco (the trio) together manage 3.4 million m² in Chile (3.29 million excluding offices).</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p>
          <w:p>
            <w:pPr>
              <w:keepNext w:val="false"/>
              <w:spacing w:after="20" w:before="0" w:line="240" w:lineRule="auto"/>
              <w:jc w:val="center"/>
            </w:pPr>
            <w:r>
              <w:drawing>
                <wp:inline distT="0" distB="0" distL="0" distR="0">
                  <wp:extent cx="2257425"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3811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index reaches at least 2,126 points, typical of a highly concentrated market, with Mallplaza as leader (33%) followed by Cenco (29%) and Parque Arauco (14%). In Peru and Colombia, by contrast, the trio accounts for only 37% and 13% of GLA, respectively, leadership is held by an outside operator with 29% and 9%, respectively, and Mallplaza ranks second in both markets. In Peru that leader is Real Plaza (InRetail), with 888,000 m² versus Mallplaza's 618,093 m², which even so generates more EBITDA per m² (S/ 159 versus S/ 148 in 2Q26). Fragmentation is greatest in Colombia, where most shopping centers are strata-titled (multi-owner), which forces professional operators to grow by acquiring single-owner assets, as Mallplaza will do with Gran Plaza (179,667 m², announced acquisition).</w:t>
      </w:r>
    </w:p>
    <w:p>
      <w:pPr>
        <w:keepNext/>
        <w:pBdr>
          <w:bottom w:val="single" w:color="E9004B" w:sz="8" w:space="1"/>
        </w:pBdr>
        <w:spacing w:after="50" w:before="110"/>
        <w:ind w:right="3766"/>
      </w:pPr>
      <w:r>
        <w:rPr>
          <w:rFonts w:ascii="Arial" w:cs="Arial" w:eastAsia="Arial" w:hAnsi="Arial"/>
          <w:b/>
          <w:bCs/>
          <w:color w:val="14284B"/>
          <w:sz w:val="16"/>
          <w:szCs w:val="16"/>
        </w:rPr>
        <w:t xml:space="preserve">NEW SUPPLY IN CHILE GROWS BELOW CONSUMPTION, WITH PRESSURE CONCENTRATED IN 2027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5.1% of the GLA of the main operators in Chile. That GLA (≈4.3 million m²) results from dividing the trio's GLA excluding offices (3.29 million) by its 76% share (assumptions in Appendix 7); measuring supply against the trio's own GLA (6.7%) would overstate the pressure, because it leaves out the other operators. The figure excludes offices and multifamily, which do not depend on consumption, as well as acquisitions, which merely change ownership (detail in Appendix 3). Over the same period, the Central Bank of Chile projects cumulative real private consumption growth of 6.4% (Figure 3), so new supply is advancing below expected demand. The timing is uneven: 2026 adds almost no space (+0.2%), and pressure is concentrated in 2027, when supply (+2.2%) barely exceeds consumption (+2.1%); in 2028 it falls below it again (+2.6% versus +2.7%). We only measure the trio's supply, whose pipeline is public: if other operators open additional m², the pressure would be greater.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(−5.9%). Even so, tenants continue to demand space, and consolidated occupancy at the three companies has ranged between 93% and 99% since 2Q22, even through the cycle of high inflation and interest rates (Appendix 4). Outside Chile, the balance is more comfortable: dated new supply is limited to Mallplaza expansions in Peru (55,800 m²), is practically nil in Colombia, and coexists with Mallplaza same-store sales (SSS) that grew 7.0% in Peru and 9.0% in Colombia in nominal local-currency terms.</w:t>
      </w:r>
    </w:p>
    <w:tbl>
      <w:tblPr>
        <w:tblpPr w:leftFromText="0" w:rightFromText="0" w:topFromText="0" w:bottomFromText="0" w:tblpX="7956" w:tblpY="-4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AN ATTRACTIVE INDUSTRY WHOSE ONLY INTENSE FORCE IS RIVALRY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6). The result describes an attractive industry, consistent with EBITDA margins of 71% to 90% across the three operators.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Rivalry (4) is played out not on price but on experience and assets. There are no signs of a price war: in 2Q26 all three operators raised nominal same-store rents in Chile (Mallplaza +5.4%, Parque Arauco +3.8% and Cenco +0.8%, the latter hit by lower sales-linked variable rent), with 96-99% occupancy that leaves no vacant space to fill with discounts (Appendix 6, table B). Mallplaza devotes more than half of its GLA to non-traditional, experience and entertainment formats, Cenco opened QINTO (30,000 m² of food and dining) and Parque Arauco is adding dining floors at Kennedy, and competition to acquire assets is intensifying (Minka and Plaza Central changed hands; Parque Arauco announced Quilín and Chicureo). We do not assign the maximum score because the trio's shares in Chile have remained stable since 2Q22 (Appendix 5) and margins show no erosion.</w:t>
      </w:r>
    </w:p>
    <w:tbl>
      <w:tblPr>
        <w:tblpPr w:leftFromText="0" w:rightFromText="0" w:topFromText="0" w:bottomFromText="0" w:tblpX="7956" w:tblpY="37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6). 1 = weak force; 5 = intense force.</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occupancy in Chile reaches 96-99%,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p>
      <w:pPr>
        <w:keepNext/>
        <w:pBdr>
          <w:bottom w:val="single" w:color="E9004B" w:sz="8" w:space="1"/>
        </w:pBdr>
        <w:spacing w:after="50" w:before="110"/>
        <w:ind w:right="3766"/>
      </w:pPr>
      <w:r>
        <w:rPr>
          <w:rFonts w:ascii="Arial" w:cs="Arial" w:eastAsia="Arial" w:hAnsi="Arial"/>
          <w:b/>
          <w:bCs/>
          <w:color w:val="14284B"/>
          <w:sz w:val="16"/>
          <w:szCs w:val="16"/>
        </w:rPr>
        <w:t xml:space="preserve">MALLPLAZA HAS THE MOST PRODUCTIVE M² OF THE TRIO, BUT ONLY NARROWLY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has the highest EBITDA per m² of the trio: CLP 59,451 in 2Q26 (quarterly, not annualized), versus 58,384 at Cenco and 55,363 at Parque Arauco, adjusted for its multifamily NOI (55,738 unadjusted; Figure 5). The advantage is 1.8% over Cenco and 7.4% over Parque Arauco. It stems from high-traffic urban locations, which in Chile received 52.7 million visits in the quarter versus 32.5 million at Cenco, and from monthly sales per m² 5.8% higher than a year earlier. The gap with Cenco is narrow and is partly explained by Cenco having added Plaza Central in June, with just one month of EBITDA in the quarter.</w:t>
      </w:r>
    </w:p>
    <w:tbl>
      <w:tblPr>
        <w:tblpPr w:leftFromText="0" w:rightFromText="0" w:topFromText="0" w:bottomFromText="0" w:tblpX="7956" w:tblpY="9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keepNext/>
        <w:pBdr>
          <w:bottom w:val="single" w:color="E9004B" w:sz="8" w:space="1"/>
        </w:pBdr>
        <w:spacing w:after="50" w:before="110"/>
        <w:ind w:right="3766"/>
      </w:pPr>
      <w:r>
        <w:rPr>
          <w:rFonts w:ascii="Arial" w:cs="Arial" w:eastAsia="Arial" w:hAnsi="Arial"/>
          <w:b/>
          <w:bCs/>
          <w:color w:val="14284B"/>
          <w:sz w:val="16"/>
          <w:szCs w:val="16"/>
        </w:rPr>
        <w:t xml:space="preserve">LONG LEASES TO DEFEND ITS POSITION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(8.7 years) and Parque Arauco (5.0 years) with a useful balance: it secures enough revenue to weather the supply pressure of 2027-2028 while leaving 15.1% of GLA expiring within two years to reset rents if demand allows.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an attractive industry, but one with high rivalry and supply that will catch up with consumption in 2027, the operators with the most productive assets and the most stable leases will gain share and profitability. Mallplaza leads in scale in Chile and, though only narrowly, in productivity per m², and is the only one of the trio with growing real sales (2Q26): its position is defensible, but its advantage is small. Its main risk is its exposure to Chile, which accounts for 62% of its GLA and where consumption currently looks weaker.</w:t>
      </w:r>
    </w:p>
    <w:p>
      <w:pPr>
        <w:keepNext/>
        <w:pBdr>
          <w:bottom w:val="single" w:color="14284B" w:sz="18" w:space="2"/>
        </w:pBdr>
        <w:spacing w:after="80" w:before="120"/>
        <w:ind w:right="3766"/>
      </w:pPr>
      <w:r>
        <w:rPr>
          <w:rFonts w:ascii="Arial" w:cs="Arial" w:eastAsia="Arial" w:hAnsi="Arial"/>
          <w:b/>
          <w:bCs/>
          <w:color w:val="14284B"/>
          <w:sz w:val="30"/>
          <w:szCs w:val="30"/>
        </w:rPr>
        <w:t xml:space="preserve">ENVIRONMENTAL, SOCIAL AND GOVERNANCE (ESG)</w:t>
      </w:r>
    </w:p>
    <w:tbl>
      <w:tblPr>
        <w:tblpPr w:leftFromText="0" w:rightFromText="0" w:topFromText="0" w:bottomFromText="0" w:tblpX="7956" w:tblpY="76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Beyond the business, PLAZA's ESG approach cuts across its decisions and aims, besides contributing to sustainable development, to access financial benefits both of its own and from external sources. Bloomberg rates the company at 3.39 points, below the global industry average (5–6 points) and below its direct competitors in Chile (Figure 7); this is partly offset by its local “green” profile, as it ranks among the leading REM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in operations, the energy management system (EnMS) certified under ISO 50001 improves energy performance and lowers operating costs. Among local external benefits: in Chile, the R&amp;D Law (CORFO) allows up to a 55% reduction in first-category tax; Peru recognizes the company with 2 of 4 stars in “Huella de Carbono Perú”, which eases permits and licenses; and Colombia, under Law 2099 of 2021, grants income-tax deductions for environmental investments. The company also holds certifications and belongs to indices such as DJSI MILA (Figure 7).</w:t>
      </w:r>
      <w:r>
        <w:rPr>
          <w:rFonts w:ascii="Arial" w:cs="Arial" w:eastAsia="Arial" w:hAnsi="Arial"/>
          <w:i w:val="false"/>
          <w:iCs w:val="false"/>
          <w:color w:val="1A1A1A"/>
          <w:sz w:val="16"/>
          <w:szCs w:val="16"/>
        </w:rPr>
        <w:t xml:space="preserve"> Figure 12 estimates, as a scenario and not as data, that operating ESG savings add about CLP 2 per share and that a 25 bp cut in the cost of debt and equity would add CLP 72 per share, against the CLP 1,478 gap between the target price and the share price. The ESG effect on value is therefore marginal; what matters for the thesis is corporate governance (see below).</w:t>
      </w:r>
    </w:p>
    <w:p>
      <w:pPr>
        <w:keepNext/>
        <w:pBdr>
          <w:bottom w:val="single" w:color="E9004B" w:sz="8" w:space="1"/>
        </w:pBdr>
        <w:spacing w:after="50" w:before="110"/>
        <w:ind w:right="3766"/>
      </w:pPr>
      <w:r>
        <w:rPr>
          <w:rFonts w:ascii="Arial" w:cs="Arial" w:eastAsia="Arial" w:hAnsi="Arial"/>
          <w:b/>
          <w:bCs/>
          <w:color w:val="14284B"/>
          <w:sz w:val="16"/>
          <w:szCs w:val="16"/>
        </w:rPr>
        <w:t xml:space="preserve">ENVIRONMENTAL</w:t>
      </w:r>
    </w:p>
    <w:tbl>
      <w:tblPr>
        <w:tblpPr w:leftFromText="0" w:rightFromText="0" w:topFromText="0" w:bottomFromText="0" w:tblpX="7956" w:tblpY="105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14: </w:t>
            </w:r>
            <w:r>
              <w:rPr>
                <w:rFonts w:ascii="Arial" w:cs="Arial" w:eastAsia="Arial" w:hAnsi="Arial"/>
                <w:color w:val="14284B"/>
                <w:sz w:val="14"/>
                <w:szCs w:val="14"/>
              </w:rPr>
              <w:t xml:space="preserve">Removing fair-value gains and non-cash items turns CLP 1,441bn of profit into CLP 408bn of FFO (CLP bn)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PLAZA's approach is efficient, sustainable and circular operational management based on continuous improvement in environmental performance, which translates into lower operating costs. It has three focus areas: energy and water efficiency, carbon footprint, and waste management. Its main objective is carbon neutrality: Net Zero in direct and indirect emissions by 2035 (65.6% progress in 2025).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reduce the energy intensity of common-area expenses by 22% by 2035 (35.5% progress in 2025; Figure 8) and reach 100% renewable electricity in 2026 (89.3% progress). In 2025, annual consumption was 0.16 MWh/m² of GLA, of which 0.14 renewable and 0.014 non-renewable (Figure 9). </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reduce direct water consumption by 30% by 2025, achieved at 100.9%, helped by its LEED and EDGE certifications; in 2025, average annual consumption was 0.77 m³/m² of GLA and 0.66 m³/m²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eliminate 100% of HCFC use by 2030 (14.9% progress in 2025), key to GHG emissions management, an area in which Bloomberg recognizes PLAZA as a global industry leader (a component separate from the total ESG score).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recover 60% of the waste generated in 2025 (46.2% recovered; the Annual Report reports 94.8% progress; Figure 9 and Appendix 8, Figure 8.4) and divert 75% of solid waste from landfills by 2027; it reports having eliminated 97% of single-use plastics. </w:t>
      </w:r>
      <w:r>
        <w:rPr>
          <w:rFonts w:ascii="Arial" w:cs="Arial" w:eastAsia="Arial" w:hAnsi="Arial"/>
          <w:b/>
          <w:bCs/>
          <w:i w:val="false"/>
          <w:iCs w:val="false"/>
          <w:color w:val="14284B"/>
          <w:sz w:val="16"/>
          <w:szCs w:val="16"/>
        </w:rPr>
        <w:t xml:space="preserve">Climate management: </w:t>
      </w:r>
      <w:r>
        <w:rPr>
          <w:rFonts w:ascii="Arial" w:cs="Arial" w:eastAsia="Arial" w:hAnsi="Arial"/>
          <w:i w:val="false"/>
          <w:iCs w:val="false"/>
          <w:color w:val="1A1A1A"/>
          <w:sz w:val="16"/>
          <w:szCs w:val="16"/>
        </w:rPr>
        <w:t xml:space="preserve">it adopts the TCFD recommendations to integrate physical and transition risks, with environmental due diligence on acquisitions, under a compliance program aligned with ISO 14001 and monitored by the sustainability committee.</w:t>
      </w:r>
    </w:p>
    <w:tbl>
      <w:tblPr>
        <w:tblpPr w:leftFromText="0" w:rightFromText="0" w:topFromText="0" w:bottomFromText="0" w:tblpX="7956" w:tblpY="-4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Bloomberg ESG score and external ratings.</w:t>
            </w:r>
          </w:p>
          <w:p>
            <w:pPr>
              <w:keepNext w:val="false"/>
              <w:spacing w:after="20" w:before="0" w:line="240" w:lineRule="auto"/>
              <w:jc w:val="center"/>
            </w:pPr>
            <w:r>
              <w:drawing>
                <wp:inline distT="0" distB="0" distL="0" distR="0">
                  <wp:extent cx="17621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621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social dimension is built on a model of long-term ethical relationships (Appendix 8, Figure 8.3) and shared value creation that places stakeholders at the center, aligned with ISO 45001 and ILO guidelines; in 2025 the risk detection and response program of the human rights policy was added. PLAZA engages its stakeholders through community dialogues, materiality assessments and organizational culture surveys (Appendix 8, section 5), and has an integrity hotline for social incidents; CADEM ranked it 31st of 385 “Marcas Ciudadanas” (“Citizen Brands”) and first in the “Shopping Centers” category (2026). Employees receive training and programs for those nearing retirement, and suppliers are evaluated with sustainability criteria (55.3% of regional and 38.4% of foreign suppliers). With tenants it maintains a relationship model centered on value proposition and experience; their satisfaction, measured by NPS, rose to 13 points in 2025 (Figure 10). Each center has emergency manuals and runs drills (52 in 2025), and PLAZA implemented ISO/IEC 27001 for information security.</w:t>
      </w:r>
    </w:p>
    <w:tbl>
      <w:tblPr>
        <w:tblpPr w:leftFromText="0" w:rightFromText="0" w:topFromText="0" w:bottomFromText="0" w:tblpX="7956" w:tblpY="77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12: </w:t>
            </w:r>
            <w:r>
              <w:rPr>
                <w:rFonts w:ascii="Arial" w:cs="Arial" w:eastAsia="Arial" w:hAnsi="Arial"/>
                <w:color w:val="14284B"/>
                <w:sz w:val="14"/>
                <w:szCs w:val="14"/>
              </w:rPr>
              <w:t xml:space="preserve">ESG savings and lower cost of capital versus the share price (scenario).</w:t>
            </w:r>
          </w:p>
          <w:p>
            <w:pPr>
              <w:keepNext w:val="false"/>
              <w:spacing w:after="20" w:before="0" w:line="240" w:lineRule="auto"/>
              <w:jc w:val="center"/>
            </w:pPr>
            <w:r>
              <w:drawing>
                <wp:inline distT="0" distB="0" distL="0" distR="0">
                  <wp:extent cx="1619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Scenario: unit prices (energy CLP 110/kWh, water CLP 1,500/m³, waste CLP 10,000/t), the 25% of savings retained by Mallplaza and the 25 bp cut in Kd and Ke are team assumptions, not data from the sources. Volumes: Mallplaza 2025 Annual Report. Source: model v4_ESG, ESG_Ahorros sheet;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On diversity, women are 53.2% of the workforce and hold 42% of management positions (Figure 10), but a gender pay gap of 28% on average regionally persists and the Board has only one woman among 9 directors. The target for 2028 is for 60% of the properties to be certified as inclusive spaces, and PLAZA obtained the “Sello Mayor” (“Senior Seal”) at one of its centers, the first in Chile, which certifies physical and operational adaptation for older adults. As it expands, building to those parameters avoids future retrofitting costs and allows the transition of existing centers to begin.</w:t>
      </w:r>
    </w:p>
    <w:p>
      <w:pPr>
        <w:keepNext/>
        <w:pBdr>
          <w:bottom w:val="single" w:color="E9004B" w:sz="8" w:space="1"/>
        </w:pBdr>
        <w:spacing w:after="50" w:before="110"/>
        <w:ind w:right="3766"/>
      </w:pPr>
      <w:r>
        <w:rPr>
          <w:rFonts w:ascii="Arial" w:cs="Arial" w:eastAsia="Arial" w:hAnsi="Arial"/>
          <w:b/>
          <w:bCs/>
          <w:color w:val="14284B"/>
          <w:sz w:val="16"/>
          <w:szCs w:val="16"/>
        </w:rPr>
        <w:t xml:space="preserve">GOVERNANCE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Corporate governance is guided by the G20 and OECD principles and aligned with the CMF's NCG 461, with the aim of ensuring transparency, risk control and monitoring of the strategy and of ESG commitments. </w:t>
      </w:r>
      <w:r>
        <w:rPr>
          <w:rFonts w:ascii="Arial" w:cs="Arial" w:eastAsia="Arial" w:hAnsi="Arial"/>
          <w:b/>
          <w:bCs/>
          <w:i w:val="false"/>
          <w:iCs w:val="false"/>
          <w:color w:val="14284B"/>
          <w:sz w:val="16"/>
          <w:szCs w:val="16"/>
        </w:rPr>
        <w:t xml:space="preserve">Board and committees:</w:t>
      </w:r>
      <w:r>
        <w:rPr>
          <w:rFonts w:ascii="Arial" w:cs="Arial" w:eastAsia="Arial" w:hAnsi="Arial"/>
          <w:i w:val="false"/>
          <w:iCs w:val="false"/>
          <w:color w:val="1A1A1A"/>
          <w:sz w:val="16"/>
          <w:szCs w:val="16"/>
        </w:rPr>
        <w:t xml:space="preserve"> the Board has 9 members and only one is independent (below 50%), which creates agency risk (Figure 11 and Appendix 8, Figure 8.2) and is the only unfavorable factor in the ESG risk matrix (Appendix 8, Figure 8.5). It defines objectives, strategy and policies; the directors' committee (3 members) reviews the financial statements and mitigates agency risks, and both oversee the risk management led by the executive committee and the CEO. In the second half of 2025, CEO Fernando de Peña Iver resigned effective at year-end, and Pablo Pulido Sierra took over in 2026. </w:t>
      </w:r>
      <w:r>
        <w:rPr>
          <w:rFonts w:ascii="Arial" w:cs="Arial" w:eastAsia="Arial" w:hAnsi="Arial"/>
          <w:b/>
          <w:bCs/>
          <w:i w:val="false"/>
          <w:iCs w:val="false"/>
          <w:color w:val="14284B"/>
          <w:sz w:val="16"/>
          <w:szCs w:val="16"/>
        </w:rPr>
        <w:t xml:space="preserve">Executive compensation: </w:t>
      </w:r>
      <w:r>
        <w:rPr>
          <w:rFonts w:ascii="Arial" w:cs="Arial" w:eastAsia="Arial" w:hAnsi="Arial"/>
          <w:i w:val="false"/>
          <w:iCs w:val="false"/>
          <w:color w:val="1A1A1A"/>
          <w:sz w:val="16"/>
          <w:szCs w:val="16"/>
        </w:rPr>
        <w:t xml:space="preserve">33.3% of executives' variable pay depends on ESG KPIs and 61% on non-financial metrics (Figure 11), which aligns incentives with ESG goals. </w:t>
      </w:r>
      <w:r>
        <w:rPr>
          <w:rFonts w:ascii="Arial" w:cs="Arial" w:eastAsia="Arial" w:hAnsi="Arial"/>
          <w:b/>
          <w:bCs/>
          <w:i w:val="false"/>
          <w:iCs w:val="false"/>
          <w:color w:val="14284B"/>
          <w:sz w:val="16"/>
          <w:szCs w:val="16"/>
        </w:rPr>
        <w:t xml:space="preserve">Shareholders: </w:t>
      </w:r>
      <w:r>
        <w:rPr>
          <w:rFonts w:ascii="Arial" w:cs="Arial" w:eastAsia="Arial" w:hAnsi="Arial"/>
          <w:i w:val="false"/>
          <w:iCs w:val="false"/>
          <w:color w:val="1A1A1A"/>
          <w:sz w:val="16"/>
          <w:szCs w:val="16"/>
        </w:rPr>
        <w:t xml:space="preserve">control is concentrated: Falabella S.A., through Desarrollos Inmobiliarios SpA, holds 53.1% of the shares (Appendix 8, Figure 8.1); minority shareholders holding 1% may propose director candidates, and the shareholders' meeting elects the Board and external auditors and approves the dividend policy.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the integrity code and the crime prevention model guide conduct; PLAZA operates the Autocompliance platform (meetings with public officials, gifts and invitations) and a confidential integrity hotline. In 2025 it reported regional non-compliance cases and complaints related to workers and customers, but none concerning corruption or conduct that undermines market development (Appendix 8, section 3). The directors' committee oversees an internal audit that reports to it monthly and appoints the external auditors and credit rating agencies. </w:t>
      </w:r>
      <w:r>
        <w:rPr>
          <w:rFonts w:ascii="Arial" w:cs="Arial" w:eastAsia="Arial" w:hAnsi="Arial"/>
          <w:b/>
          <w:bCs/>
          <w:i w:val="false"/>
          <w:iCs w:val="false"/>
          <w:color w:val="14284B"/>
          <w:sz w:val="16"/>
          <w:szCs w:val="16"/>
        </w:rPr>
        <w:t xml:space="preserve">Relevance for the thesis: </w:t>
      </w:r>
      <w:r>
        <w:rPr>
          <w:rFonts w:ascii="Arial" w:cs="Arial" w:eastAsia="Arial" w:hAnsi="Arial"/>
          <w:i w:val="false"/>
          <w:iCs w:val="false"/>
          <w:color w:val="1A1A1A"/>
          <w:sz w:val="16"/>
          <w:szCs w:val="16"/>
        </w:rPr>
        <w:t xml:space="preserve">governance matters, not ESG savings. With Falabella as controller, related companies contributing 15.7% of revenue and a board with a single independent director, it must be verified that expansion, whose return is below its cost of capital, does not benefit the controller more than minority shareholders (see Valuation and Risks, RR1).</w:t>
      </w:r>
    </w:p>
    <w:p>
      <w:pPr>
        <w:keepNext/>
        <w:pBdr>
          <w:bottom w:val="single" w:color="14284B" w:sz="18" w:space="2"/>
        </w:pBdr>
        <w:spacing w:after="80" w:before="120"/>
        <w:ind w:right="3766"/>
      </w:pPr>
      <w:r>
        <w:rPr>
          <w:rFonts w:ascii="Arial" w:cs="Arial" w:eastAsia="Arial" w:hAnsi="Arial"/>
          <w:b/>
          <w:bCs/>
          <w:color w:val="14284B"/>
          <w:sz w:val="30"/>
          <w:szCs w:val="30"/>
        </w:rPr>
        <w:t xml:space="preserve">FINANCIAL ANALYSIS</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keepNext w:val="false"/>
        <w:spacing w:after="30" w:before="40" w:line="228" w:lineRule="auto"/>
      </w:pPr>
      <w:r>
        <w:rPr>
          <w:rFonts w:ascii="Arial" w:cs="Arial" w:eastAsia="Arial" w:hAnsi="Arial"/>
          <w:b/>
          <w:bCs/>
          <w:color w:val="14284B"/>
          <w:sz w:val="14"/>
          <w:szCs w:val="14"/>
        </w:rPr>
        <w:t xml:space="preserve">Figure 13: </w:t>
      </w:r>
      <w:r>
        <w:rPr>
          <w:rFonts w:ascii="Arial" w:cs="Arial" w:eastAsia="Arial" w:hAnsi="Arial"/>
          <w:color w:val="14284B"/>
          <w:sz w:val="14"/>
          <w:szCs w:val="14"/>
        </w:rPr>
        <w:t xml:space="preserve">ROE on distributable profit of 8–10% (not the shareholder's return); reported ROE follows the appraisal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936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660</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8.5</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r>
    </w:tbl>
    <w:p>
      <w:pPr>
        <w:keepNext w:val="false"/>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keepNext w:val="false"/>
        <w:spacing w:after="60"/>
      </w:pP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8: </w:t>
            </w:r>
            <w:r>
              <w:rPr>
                <w:rFonts w:ascii="Arial" w:cs="Arial" w:eastAsia="Arial" w:hAnsi="Arial"/>
                <w:color w:val="14284B"/>
                <w:sz w:val="14"/>
                <w:szCs w:val="14"/>
              </w:rPr>
              <w:t xml:space="preserve">Environmental targets: progress to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Reported earnings track the appraiser; FFO tracks the business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Under IAS 40, revaluations of investment property run through the income statement. In 2025 a CLP 1,447bn fair-value gain, 27% of opening property value against about 2% a year at Parque Arauco and Cencosud Shopping, now Cenco Malls, lifted attributable net income to CLP 1,431bn (2.2x revenue) and reported ROE to 37.5% (Figure 13). About two-thirds of the 29% rise in the value of Chilean properties came from a lower real appraisal discount rate (from 6.62% to 5.64%, Note 11), not from higher NOI (Appendix 11C).</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Excluding fair-value gains net of deferred tax, audited distributable profit was CLP 369bn and ROE 9.7%; with the same adjustment we apply to peers it would be 10.0%, the highest of the three (Appendix 14). FFO, which we rebuild from the statements to within 0.02% of the reported CLP 405bn (Figure 14), held a 59–62% margin over 2022–2025 while net income swung more than fourfold. FFO excludes the UF indexation of debt (CLP 44bn, 11% of FFO); distributable profit includes it and is our conservative earnings anchor.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Broken down, 2025 normalized ROE (9.7%) is a 56.5% normalized net margin times an asset turnover of 0.097x and 1.77x accounting leverage. It is not the shareholder's return: the denominator is equity at appraised value, and each revaluation raises its book value without generating cash flow, because it is a non-cash fair-value change that does not enter FFO or dividends. We therefore forecast normalized ROE of 8–9%, rising only with leverage.</w:t>
      </w:r>
    </w:p>
    <w:p>
      <w:pPr>
        <w:keepNext/>
        <w:pBdr>
          <w:bottom w:val="single" w:color="E9004B" w:sz="8" w:space="1"/>
        </w:pBdr>
        <w:spacing w:after="50" w:before="110"/>
        <w:ind w:right="3766"/>
      </w:pPr>
      <w:r>
        <w:rPr>
          <w:rFonts w:ascii="Arial" w:cs="Arial" w:eastAsia="Arial" w:hAnsi="Arial"/>
          <w:b/>
          <w:bCs/>
          <w:color w:val="14284B"/>
          <w:sz w:val="16"/>
          <w:szCs w:val="16"/>
        </w:rPr>
        <w:t xml:space="preserve">Two-thirds of 2025 growth was bought; organic real growth is about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rose 76% between 2022 and 2025, but 21.8pp of 2025's 32.2% came from perimeter: the Peruvian portfolio bought from Falabella, consolidated from 4 December 2024 (Appendix 11C). Ex-Peru, revenue grew 10.7% in 2025 and 7.1% in 1H26.</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9: </w:t>
            </w:r>
            <w:r>
              <w:rPr>
                <w:rFonts w:ascii="Arial" w:cs="Arial" w:eastAsia="Arial" w:hAnsi="Arial"/>
                <w:color w:val="14284B"/>
                <w:sz w:val="14"/>
                <w:szCs w:val="14"/>
              </w:rPr>
              <w:t xml:space="preserve">Renewable energy and waste recovery,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Once currency and inflation are removed, the 7.4% nominal growth of 1H26 falls to ~3.0% real (Figure 15): Chile 2.8% (UF +3.1%), Peru 4.5% (occupancy 93.8%) and Colombia ~1% net of the 7.5% COP appreciation and 6.1% inflation.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our reading, growth depends more on contracts than on sales: variable rent is 5.1% of 1H26 revenue and fell 1.1% while tenant sales rose 6.7%, because minimum rents (+5.5%) are outpacing sales (+3.7%). It is not a bond either: 15.1% of GLA expires within two years, tenant solvency matters and real growth converges on the appraisal midpoints (0.4–0.9% a year).</w:t>
      </w:r>
    </w:p>
    <w:p>
      <w:pPr>
        <w:keepNext/>
        <w:pBdr>
          <w:bottom w:val="single" w:color="E9004B" w:sz="8" w:space="1"/>
        </w:pBdr>
        <w:spacing w:after="50" w:before="110"/>
        <w:ind w:right="3766"/>
      </w:pPr>
      <w:r>
        <w:rPr>
          <w:rFonts w:ascii="Arial" w:cs="Arial" w:eastAsia="Arial" w:hAnsi="Arial"/>
          <w:b/>
          <w:bCs/>
          <w:color w:val="14284B"/>
          <w:sz w:val="16"/>
          <w:szCs w:val="16"/>
        </w:rPr>
        <w:t xml:space="preserve">Margin gains came from mix and cost recovery; further room looks limited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EBITDA margin rose from 76.2% in 2022 to 80.5% in 2025 for two reasons. Peru consolidates at an 83% segment margin, against 80% in Chile and 73% in Colombia. And Chile's margin gained 2.4pp on a higher recovery of common charges, presented net of cost (Note 2.20): real, but dependent on occupancy and tenant negotiations, so we do not extrapolate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costs (cost of sales plus administration) were 20.1% of revenue in 2025 and include D&amp;A (0.55%): 20.1% − 0.55% = 19.5% = 1 − EBITDA margin (Appendix 11). If they were fixed, a 1% fall in revenue would cut EBITDA by 1.24% (1.1% if half were variable). In 1H26 EBITDA grew 7.4%, in line with revenue, and margin held at 79.7%. Administrative expense rose 18.1% on payroll (+18.9%: CEO transition and a full year of Peru), bad debts normalizing from a 2025 base flattered by recoveries, and a one-off Colombian wealth tax of CLP 1.7bn. Excluding the last two, 1H26 margin would be 80.4%.</w:t>
      </w:r>
    </w:p>
    <w:tbl>
      <w:tblPr>
        <w:tblpPr w:leftFromText="0" w:rightFromText="0" w:topFromText="0" w:bottomFromText="0" w:tblpX="7956" w:tblpY="9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10: </w:t>
            </w:r>
            <w:r>
              <w:rPr>
                <w:rFonts w:ascii="Arial" w:cs="Arial" w:eastAsia="Arial" w:hAnsi="Arial"/>
                <w:color w:val="14284B"/>
                <w:sz w:val="14"/>
                <w:szCs w:val="14"/>
              </w:rPr>
              <w:t xml:space="preserve">Social indicators.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of promoters (scores 9–10) minus % of detractors (0–6). 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Cash covers the dividend 2.6x before debt and 1.8x after repaying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cash flow rose from CLP 301bn in 2024 to CLP 441bn in 2025. Cash tax was only 15% of operating profit, sheltered by tax goodwill and loss carry-forwards (Note 13), and will rise toward the 27% statutory rate. After capex and net interest, free cash flow before debt was CLP 280bn, covering dividends 2.6x (Figure 16); 1.8x after repaying net debt (Appendix 10D).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CLP 71.9bn (+38.6%) rise in 1H26 operating cash flow comes 78% from higher collections (partly December balances: receivable days from 66 to 50) and 15% from lower taxes paid; we do not extrapolate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dividend policy pays out 40% of distributable profit with a one-year lag and the covenant (net debt/equity ≤ 2.0x; 0.26x at June) does not constrain it: retained cash was CLP 171.6bn in 2025. In the base case, FFO rises from CLP 428.5bn in 2026E to 512.6bn in 2031E and ordinary dividends from CLP 147.7bn to 176.5bn; the remaining cash, together with new debt, funds capex and the additional distributions (Appendix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Capex is stepping up. Contractual investment commitments rose to CLP 78bn at June 2026 from CLP 18bn in December 2025, and 1H26 property capex was CLP 81bn (+176%). The base case funds the USD 579m of remaining dated pipeline over 2026–2028 (including USD 134m of other projects in Chile) and then keeps adding about 27,000 m² a year, the 2022–2025 organic pace: total capex settles near 16% of revenue, 5.5% maintenance and ~11% incremental (Figure 19).</w:t>
      </w:r>
    </w:p>
    <w:p>
      <w:pPr>
        <w:keepNext/>
        <w:pBdr>
          <w:bottom w:val="single" w:color="E9004B" w:sz="8" w:space="1"/>
        </w:pBdr>
        <w:spacing w:after="50" w:before="110"/>
        <w:ind w:right="3766"/>
      </w:pPr>
      <w:r>
        <w:rPr>
          <w:rFonts w:ascii="Arial" w:cs="Arial" w:eastAsia="Arial" w:hAnsi="Arial"/>
          <w:b/>
          <w:bCs/>
          <w:color w:val="14284B"/>
          <w:sz w:val="16"/>
          <w:szCs w:val="16"/>
        </w:rPr>
        <w:t xml:space="preserve">Cash-flow metrics earn the AAA; equity-based ratios flatter it</w:t>
      </w:r>
    </w:p>
    <w:tbl>
      <w:tblPr>
        <w:tblpPr w:leftFromText="0" w:rightFromText="0" w:topFromText="0" w:bottomFromText="0" w:tblpX="7956" w:tblpY="-1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11: </w:t>
            </w:r>
            <w:r>
              <w:rPr>
                <w:rFonts w:ascii="Arial" w:cs="Arial" w:eastAsia="Arial" w:hAnsi="Arial"/>
                <w:color w:val="14284B"/>
                <w:sz w:val="14"/>
                <w:szCs w:val="14"/>
              </w:rPr>
              <w:t xml:space="preserve">ESG incentives and Board composition.</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LTV fell from 26.9% to 18.8% in 2025, but 5.0pp of the 8.0pp drop came from revaluing the denominator; with property at 2024 value plus additions, LTV would have been 23.8% (Figure 17). Cash-flow metrics support Feller Rate's upgrade of the local rating to AAA (25 September 2026), but of the fall in net debt/EBITDA from 3.78x to 2.36x, 0.75x is perimeter (Peru consolidated one month in 2024; pro forma ≥ 3.0x), 0.39x EBITDA growth and only 0.28x lower debt (Appendix 11B). EBITDA covers financial costs 8.4x.</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Gross debt of CLP 1,633bn is 79% UF, 14% PEN and 7% COP, matching revenue currencies; 95% is long term, with a 6.6-year duration. The outstanding UF bonds carry a 3.36% real coupon (3.48% effective); with UF indexation the all-in nominal CLP cost was about 7% in 2025. Maturities cluster in 2029, 2031 and 2033 (Figure 18); refinancing series S (1.32% effective) at the latest issue's 4.33% real effective rate would add about CLP 4.9bn a year.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10). Against peers the balance sheet is conservative: LTV of 18.8% versus 42.9% at Parque Arauco and 16.3% at Cencosud Shopping, and net debt/EBITDA of 2.49x versus 5.68x and 2.11x (Appendix 14).</w:t>
      </w:r>
    </w:p>
    <w:tbl>
      <w:tblPr>
        <w:tblpPr w:leftFromText="0" w:rightFromText="0" w:topFromText="0" w:bottomFromText="0" w:tblpX="7956" w:tblpY="36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15: </w:t>
            </w:r>
            <w:r>
              <w:rPr>
                <w:rFonts w:ascii="Arial" w:cs="Arial" w:eastAsia="Arial" w:hAnsi="Arial"/>
                <w:color w:val="14284B"/>
                <w:sz w:val="14"/>
                <w:szCs w:val="14"/>
              </w:rPr>
              <w:t xml:space="preserve">Two-thirds of 2025 growth was bought; in 1H26 currency and inflation explain more than half</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1.7tn cumulatively over 2H26E–2031E (Appendix 13). At 3.5x the new AAA rating would likely come under pressure.</w:t>
      </w:r>
    </w:p>
    <w:p>
      <w:pPr>
        <w:keepNext/>
        <w:pBdr>
          <w:bottom w:val="single" w:color="E9004B" w:sz="8" w:space="1"/>
        </w:pBdr>
        <w:spacing w:after="50" w:before="110"/>
        <w:ind w:right="3766"/>
      </w:pPr>
      <w:r>
        <w:rPr>
          <w:rFonts w:ascii="Arial" w:cs="Arial" w:eastAsia="Arial" w:hAnsi="Arial"/>
          <w:b/>
          <w:bCs/>
          <w:color w:val="14284B"/>
          <w:sz w:val="16"/>
          <w:szCs w:val="16"/>
        </w:rPr>
        <w:t xml:space="preserve">The forecast carries forward what history supports, including the pace of expansion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grows 7.7% in nominal CLP in 2026E and 5.0% in 2031E (2026E–2031E CAGR 6.9%), as real same-store growth converges to the appraisal midpoints, 170,200 m² of dated pipeline matures (including 46,500 m² of other projects in Chile opening in 2028) and, from 2029E, about 27,000 m² a year opens at the historical pace (Figure 19); 2026E revenue sits 0.3% above the BEst consensus of 13 analysts (Appendix 11C). EBITDA margin stays at 79.7–79.8%, below the 2025 peak. Cash tax (Chile's rate) normalizes from 16.8% to 27% by 2030E and financial costs rise with leverage, so FFO margin slides from 60.9% to 52.2%. Working capital is held at 15.6% of revenue, the December 2025 level (Appendix 9). New GLA yields 7.3% real before tax on cost and 5.3% real after tax (RONIC), against a 7.2% real WACC: expansion adds revenue but not value.</w:t>
      </w:r>
    </w:p>
    <w:p>
      <w:pPr>
        <w:keepNext/>
        <w:pBdr>
          <w:bottom w:val="single" w:color="E9004B" w:sz="8" w:space="1"/>
        </w:pBdr>
        <w:spacing w:after="50" w:before="110"/>
        <w:ind w:right="3766"/>
      </w:pPr>
      <w:r>
        <w:rPr>
          <w:rFonts w:ascii="Arial" w:cs="Arial" w:eastAsia="Arial" w:hAnsi="Arial"/>
          <w:b/>
          <w:bCs/>
          <w:color w:val="14284B"/>
          <w:sz w:val="16"/>
          <w:szCs w:val="16"/>
        </w:rPr>
        <w:t xml:space="preserve">What this means for valuation</w:t>
      </w:r>
    </w:p>
    <w:tbl>
      <w:tblPr>
        <w:tblpPr w:leftFromText="0" w:rightFromText="0" w:topFromText="0" w:bottomFromText="0" w:tblpX="7956" w:tblpY="41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18: </w:t>
            </w:r>
            <w:r>
              <w:rPr>
                <w:rFonts w:ascii="Arial" w:cs="Arial" w:eastAsia="Arial" w:hAnsi="Arial"/>
                <w:color w:val="14284B"/>
                <w:sz w:val="14"/>
                <w:szCs w:val="14"/>
              </w:rPr>
              <w:t xml:space="preserve">Refinancing risk sits in 2029, 2031 and 2033, not in the near term</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analysis leaves three conclusions for the model. First, the right earnings base is cash: we use the company's EBITDA, which removes revaluation once (Appendix 12), and distributable profit as the anchor, not the CLP 1,431bn accounting profit. Second, business quality is not in doubt: with the same adjustment for all three, Mallplaza earns the highest normalized ROE of its local peers (10.0% against 7.8% at Parque Arauco and 8.0% at Cencosud Shopping) with an LTV of 18.8% (Appendix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Third, existing capital barely earns its cost. 2025 ROIC, with NOPAT at 27% over capital at appraised value, was 7.3%, comparable with our 7.2% real WACC (not the nominal one) because it excludes revaluation (Appendix 11). New capital, by contrast, earns less than its cost (real RONIC of 5.3%). At the current price, 2026E FFO of CLP 428.5bn yields 5.5% nominal on market value (18x FFO) and distributable profit 4.9%: the market is paying for these cash flows as if they were almost risk-free. That discount-rate gap is what Valuation quantifies.</w:t>
      </w:r>
    </w:p>
    <w:p>
      <w:pPr>
        <w:keepNext/>
        <w:pBdr>
          <w:bottom w:val="single" w:color="14284B" w:sz="18" w:space="2"/>
        </w:pBdr>
        <w:spacing w:after="80" w:before="120"/>
        <w:ind w:right="3766"/>
      </w:pPr>
      <w:r>
        <w:rPr>
          <w:rFonts w:ascii="Arial" w:cs="Arial" w:eastAsia="Arial" w:hAnsi="Arial"/>
          <w:b/>
          <w:bCs/>
          <w:color w:val="14284B"/>
          <w:sz w:val="30"/>
          <w:szCs w:val="30"/>
        </w:rPr>
        <w:t xml:space="preserve">VALUATION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We recommend SELL on Mallplaza with a target price of CLP 2,077 per share, 41.6% below the CLP 3,555 close of 30-Sep-26 (−39.6% total return including dividends). Our target sits even below the stock's 52-week low (CLP 2,470).</w:t>
      </w:r>
    </w:p>
    <w:tbl>
      <w:tblPr>
        <w:tblpPr w:leftFromText="0" w:rightFromText="0" w:topFromText="0" w:bottomFromText="0" w:tblpX="7956" w:tblpY="-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16: </w:t>
            </w:r>
            <w:r>
              <w:rPr>
                <w:rFonts w:ascii="Arial" w:cs="Arial" w:eastAsia="Arial" w:hAnsi="Arial"/>
                <w:color w:val="14284B"/>
                <w:sz w:val="14"/>
                <w:szCs w:val="14"/>
              </w:rPr>
              <w:t xml:space="preserve">Free cash flow covers dividends 1.5–2.6x even as capex rises (FY2025, CLP bn)</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A PRICE NONE OF OUR METHODS REACHES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twelve months the stock rose from CLP 2,470 to 4,700 and now trades at CLP 3,555. None of our methods reaches that price: the DCF ranges from CLP 1,391 to 2,329 even with nominal WACC ±100 bp and nominal g between 2.5% and 4.0%, and the median multiples fall short too (Figure 20). We give the DCF an 80% weight because Mallplaza's value comes from contractual cash flows: 81.4% of revenue is rent and 93% of that is fixed. The 20% on multiples tests the model against what the market pays today, but with caution: Chile has only two direct peers, and neither captures the company's expansion plan or debt path.</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APV, which values the firm without debt and adds the tax shields separately, gives CLP 1,895, only 2% above the DCF: the result does not depend on how we model financing. Multiples range from CLP 2,152 (common-set median) to 3,294 (Chilean median), and NTM EV/EBITDA and EV/EBIT fall between CLP 2,914 and 3,098. Everything lands to the left of the price; only the stock's own one-year trading range and, among individual multiples, Parque Arauco's, which we do not use alone (below), reach it. Even the Chilean median multiple, the most favourable case for the stock, sits 7% below the price.</w:t>
      </w:r>
    </w:p>
    <w:p>
      <w:pPr>
        <w:keepNext/>
        <w:pBdr>
          <w:bottom w:val="single" w:color="E9004B" w:sz="8" w:space="1"/>
        </w:pBdr>
        <w:spacing w:after="50" w:before="110"/>
        <w:ind w:right="3766"/>
      </w:pPr>
      <w:r>
        <w:rPr>
          <w:rFonts w:ascii="Arial" w:cs="Arial" w:eastAsia="Arial" w:hAnsi="Arial"/>
          <w:b/>
          <w:bCs/>
          <w:color w:val="14284B"/>
          <w:sz w:val="16"/>
          <w:szCs w:val="16"/>
        </w:rPr>
        <w:t xml:space="preserve">THE STORY IS IN THE DISCOUNT RATE</w:t>
      </w:r>
    </w:p>
    <w:tbl>
      <w:tblPr>
        <w:tblpPr w:leftFromText="0" w:rightFromText="0" w:topFromText="0" w:bottomFromText="0" w:tblpX="7956" w:tblpY="54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19: </w:t>
            </w:r>
            <w:r>
              <w:rPr>
                <w:rFonts w:ascii="Arial" w:cs="Arial" w:eastAsia="Arial" w:hAnsi="Arial"/>
                <w:color w:val="14284B"/>
                <w:sz w:val="14"/>
                <w:szCs w:val="14"/>
              </w:rPr>
              <w:t xml:space="preserve">After the pipeline, incremental capex for continuous expansion keeps total capex near CLP 150bn a year; net debt/EBITDA rises to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includes CLP 84.2bn of 1H26 (no breakdown by type). Maintenance + IT = 5.5% of revenue; incremental = pipeline under way + continuous expansion. 2024A: one month of Peru EBITDA. Source: Plaza S.A. financial statements (CMF); 2Q26 results release; model v4 (Appendix 15).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We project the firm's free cash flow (FCFF) in nominal CLP from 30-Jun-26, with an explicit horizon to 2031E and a terminal value that explains 78% of EV (Appendix 15). The CLP 1,859 per share is CLP 543 of explicit cash flows and CLP 1,926 of terminal value, less CLP 610 of net debt and minorities: the result depends, above all, on the discount rate.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the new debt (CLP 1.46 trillion) funds all capex while operating cash is distributed to shareholders. Nominal WACC thus moves from 10.54% in 2H26E to 10.41% at the terminal (7.32% and 7.20% real): a nominal Ke of 11.93% (8.67% real; USD Rf of 4.98%, re-levered beta of 1.14 from a six-peer unlevered median of 0.94, ERP 4.14% and a revenue-weighted CRP of 1.41%) and a nominal after-tax Kd of 5.11%, based on the 3.6% real (UF) coupon of the latest issue (Appendix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build Ke in dollars because its three inputs are in that currency and nominal: the US Treasury Rf, the implied market risk premium published by Damodaran and country risk, which we weight by revenue. We then convert it to pesos with the differential between expected inflation in Chile (3.0%, the central bank target) and in the US (2.24%, 10-year breakeven). Beta is unlevered with Hamada (six regional peers) and re-levered each period (1.09 in 2H26E, 1.14 at the terminal).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first signal is the asset (firm) IRR: the single rate that equates FCFF and terminal value to the enterprise value the market pays at CLP 3,555 (EV of CLP 9.12 trillion). It is 7.61% nominal (4.48% real in UF), 280 bp below the nominal WACC (272 bp in real terms) and only ~88 real bp above the real cost of its debt (Figure 21).</w:t>
      </w:r>
    </w:p>
    <w:p>
      <w:pPr>
        <w:keepNext w:val="false"/>
        <w:spacing w:after="30" w:before="60"/>
      </w:pPr>
      <w:r>
        <w:rPr>
          <w:rFonts w:ascii="Arial" w:cs="Arial" w:eastAsia="Arial" w:hAnsi="Arial"/>
          <w:b/>
          <w:bCs/>
          <w:color w:val="14284B"/>
          <w:sz w:val="15"/>
          <w:szCs w:val="15"/>
        </w:rPr>
        <w:t xml:space="preserve">Asset (firm) and new-project IRR vs WACC: nominal CLP and real (UF)</w:t>
      </w:r>
    </w:p>
    <w:tbl>
      <w:tblPr>
        <w:tblW w:type="dxa" w:w="11503"/>
        <w:tblBorders>
          <w:top w:val="none" w:color="FFFFFF" w:sz="0"/>
          <w:left w:val="none" w:color="FFFFFF" w:sz="0"/>
          <w:bottom w:val="none" w:color="FFFFFF" w:sz="0"/>
          <w:right w:val="none" w:color="FFFFFF" w:sz="0"/>
          <w:insideH w:val="none" w:color="FFFFFF" w:sz="0"/>
          <w:insideV w:val="none" w:color="FFFFFF" w:sz="0"/>
        </w:tblBorders>
      </w:tblPr>
      <w:tblGrid>
        <w:gridCol w:w="3835"/>
        <w:gridCol w:w="1233"/>
        <w:gridCol w:w="1067"/>
        <w:gridCol w:w="3001"/>
        <w:gridCol w:w="2367"/>
      </w:tblGrid>
      <w:tr>
        <w:trPr>
          <w:tblHeader/>
        </w:trPr>
        <w:tc>
          <w:tcPr>
            <w:tcW w:type="dxa" w:w="383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Buying at the price of</w:t>
            </w:r>
          </w:p>
        </w:tc>
        <w:tc>
          <w:tcPr>
            <w:tcW w:type="dxa" w:w="1233"/>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Nominal</w:t>
            </w:r>
          </w:p>
        </w:tc>
        <w:tc>
          <w:tcPr>
            <w:tcW w:type="dxa" w:w="106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Real</w:t>
            </w:r>
          </w:p>
        </w:tc>
        <w:tc>
          <w:tcPr>
            <w:tcW w:type="dxa" w:w="3001"/>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WACC nom./real</w:t>
            </w:r>
          </w:p>
        </w:tc>
        <w:tc>
          <w:tcPr>
            <w:tcW w:type="dxa" w:w="236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Gap nom./real</w:t>
            </w:r>
          </w:p>
        </w:tc>
      </w:tr>
      <w:tr>
        <w:trPr>
          <w:cantSplit w:val="false"/>
        </w:trPr>
        <w:tc>
          <w:tcPr>
            <w:tcW w:type="dxa" w:w="383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Market: CLP 3,555</w:t>
            </w:r>
          </w:p>
        </w:tc>
        <w:tc>
          <w:tcPr>
            <w:tcW w:type="dxa" w:w="1233"/>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7.61%</w:t>
            </w:r>
          </w:p>
        </w:tc>
        <w:tc>
          <w:tcPr>
            <w:tcW w:type="dxa" w:w="10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4.48%</w:t>
            </w:r>
          </w:p>
        </w:tc>
        <w:tc>
          <w:tcPr>
            <w:tcW w:type="dxa" w:w="3001"/>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−280 / −272 bp</w:t>
            </w:r>
          </w:p>
        </w:tc>
      </w:tr>
      <w:tr>
        <w:trPr>
          <w:cantSplit w:val="false"/>
        </w:trPr>
        <w:tc>
          <w:tcPr>
            <w:tcW w:type="dxa" w:w="383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Our target: CLP 2,077</w:t>
            </w:r>
          </w:p>
        </w:tc>
        <w:tc>
          <w:tcPr>
            <w:tcW w:type="dxa" w:w="1233"/>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9.88%</w:t>
            </w:r>
          </w:p>
        </w:tc>
        <w:tc>
          <w:tcPr>
            <w:tcW w:type="dxa" w:w="106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6.68%</w:t>
            </w:r>
          </w:p>
        </w:tc>
        <w:tc>
          <w:tcPr>
            <w:tcW w:type="dxa" w:w="3001"/>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−53 / −51 bp</w:t>
            </w:r>
          </w:p>
        </w:tc>
      </w:tr>
      <w:tr>
        <w:trPr>
          <w:cantSplit w:val="false"/>
        </w:trPr>
        <w:tc>
          <w:tcPr>
            <w:tcW w:type="dxa" w:w="383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Our DCF: CLP 1,859</w:t>
            </w:r>
          </w:p>
        </w:tc>
        <w:tc>
          <w:tcPr>
            <w:tcW w:type="dxa" w:w="1233"/>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10.43%</w:t>
            </w:r>
          </w:p>
        </w:tc>
        <w:tc>
          <w:tcPr>
            <w:tcW w:type="dxa" w:w="10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7.21%</w:t>
            </w:r>
          </w:p>
        </w:tc>
        <w:tc>
          <w:tcPr>
            <w:tcW w:type="dxa" w:w="3001"/>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 / +2 bp</w:t>
            </w:r>
          </w:p>
        </w:tc>
      </w:tr>
      <w:tr>
        <w:trPr>
          <w:cantSplit w:val="false"/>
        </w:trPr>
        <w:tc>
          <w:tcPr>
            <w:tcW w:type="dxa" w:w="383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New project: 1 m² (cohort)</w:t>
            </w:r>
          </w:p>
        </w:tc>
        <w:tc>
          <w:tcPr>
            <w:tcW w:type="dxa" w:w="1233"/>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7.98%</w:t>
            </w:r>
          </w:p>
        </w:tc>
        <w:tc>
          <w:tcPr>
            <w:tcW w:type="dxa" w:w="106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4.84%</w:t>
            </w:r>
          </w:p>
        </w:tc>
        <w:tc>
          <w:tcPr>
            <w:tcW w:type="dxa" w:w="3001"/>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−243 / −236 bp</w:t>
            </w:r>
          </w:p>
        </w:tc>
      </w:tr>
    </w:tbl>
    <w:p>
      <w:pPr>
        <w:keepNext w:val="false"/>
        <w:spacing w:after="60" w:before="20"/>
      </w:pPr>
      <w:r>
        <w:rPr>
          <w:rFonts w:ascii="Arial" w:cs="Arial" w:eastAsia="Arial" w:hAnsi="Arial"/>
          <w:color w:val="5F5F5F"/>
          <w:sz w:val="12"/>
          <w:szCs w:val="12"/>
        </w:rPr>
        <w:t xml:space="preserve">Asset IRR: the single rate that equates FCFF and terminal value to the enterprise value paid; at the DCF value it equals the WACC. New project: cash flow of 1 m² with the expansion cost, ramp and margin, maintenance and working capital. Real = (1 + nom.) / (1 + 3.0%) − 1. The implied WACC in Figure 27 (7.60%) shifts the whole WACC curve and the single-rate IRR is 7.61%: two readings of the same idea. Source: model v4, TIR_Implicita and TIR_Proyecto sheets.</w:t>
      </w: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17: </w:t>
            </w:r>
            <w:r>
              <w:rPr>
                <w:rFonts w:ascii="Arial" w:cs="Arial" w:eastAsia="Arial" w:hAnsi="Arial"/>
                <w:color w:val="14284B"/>
                <w:sz w:val="14"/>
                <w:szCs w:val="14"/>
              </w:rPr>
              <w:t xml:space="preserve">Two-thirds of the 2025 fall in LTV is revaluation, not deleveraging</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GROWTH DOES NOT RESCUE THE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are not pessimistic about operations. We project a 79.7% EBITDA margin in 2026E (excluding revaluations, below the 80.5% LTM), a cash tax rate converging from 16.8% to 27% by 2030, the company's full dated pipeline (170,200 m² and USD 613 MM, including 46,500 m² of “other projects” in Chile opening in 2028) and, from 2029, 27,075 new m² per year, the historical organic pace. The BEst consensus of 13 analysts expects 12-month EBITDA only ~3% above ours: the disagreement with the market is not in the cash flows.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Capex follows the company's plan and is split into maintenance and IT (5.5% of revenue, CLP 42–53 bn per year) and incremental capex: the pipeline under way (CLP 534 bn in 2H26E–2028E) and continuous expansion (CLP 95–104 bn per year from 2028, at USD 3,603 per m² and a revenue ramp of 35%, 90% and 100%). Total capex peaks at CLP 336 bn in 2027E and settles near 16% of revenue from 2029E (Figure 19). Working capital (15.6% of revenue) requires CLP 7.3–9.9 bn per year and, if it were zero, the target would rise only 1.3% (Figure 22: waterfall of strong assumptions, distinct from the bull scenario; Appendix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Two assumptions deserve an explanation. The cash tax rate starts at 16.8% because the company currently uses tax goodwill and accumulated losses; we assume those shields run out and the rate reaches 27% in 2030. It is real cash savings (lower current tax), not accounting: CLP 62 per share undiscounted; without it the target falls 2.1% (Figure 22). And working capital grows with revenue, not with new m².</w:t>
      </w:r>
    </w:p>
    <w:tbl>
      <w:tblPr>
        <w:tblpPr w:leftFromText="0" w:rightFromText="0" w:topFromText="0" w:bottomFromText="0" w:tblpX="7956" w:tblpY="10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20: </w:t>
            </w:r>
            <w:r>
              <w:rPr>
                <w:rFonts w:ascii="Arial" w:cs="Arial" w:eastAsia="Arial" w:hAnsi="Arial"/>
                <w:color w:val="14284B"/>
                <w:sz w:val="14"/>
                <w:szCs w:val="14"/>
              </w:rPr>
              <w:t xml:space="preserve">None of our methods justifies the current price (CLP per share)</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Intraday 52-week range (01-10-25 to 30-09-26; low 10-10-25, high 27-04-26). Source: Team analysis;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Price and sales. For a rental operator the price is rent per m², and tenants' sales reach revenue only through variable rent (5.7% of LTM revenue). So 1 pp more nominal same-store rent growth in 2027–28 adds CLP 45 to the DCF value per share, 18 times what 1 pp more tenant-sales growth adds (CLP 2.6); 1 pp more real rent growth in 2029–31 adds CLP 57. Better prices can translate into higher sales and variable rent when occupancy and traffic sustain them, so in the bull case we move both levers at once (rent +9.4%, sales +9.9%): even so, the target stays 18% below the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problem is the return on growth. Each new m² yields 7.3% real before tax on its cost (expansion mix: 67% Chile, 33% Peru), a real after-tax RONIC of 5.3%, below a real WACC of 7.2%. The IRR of a new m², with capex, ramp, maintenance and working capital, is 4.84% real (7.98% nominal): 236 bp below the real WACC and 243 bp below the nominal one; to match it, revenue per m² would have to be 1.54 times the model's. Expansion adds revenue but not value: that is why terminal value grows only with inflation (nominal g of 3.0%, 0% real) and a higher g reduces value (Figure 23). Assuming more growth would not close the gap with the price; it would widen it. The explicit horizon therefore includes the capex and maturation of projects opening through 2032 (108,301 m² mature in the terminal year), but from there terminal incremental capex is zero and only maintenance remains.</w:t>
      </w:r>
    </w:p>
    <w:p>
      <w:pPr>
        <w:keepNext/>
        <w:pBdr>
          <w:bottom w:val="single" w:color="E9004B" w:sz="8" w:space="1"/>
        </w:pBdr>
        <w:spacing w:after="50" w:before="110"/>
        <w:ind w:right="3766"/>
      </w:pPr>
      <w:r>
        <w:rPr>
          <w:rFonts w:ascii="Arial" w:cs="Arial" w:eastAsia="Arial" w:hAnsi="Arial"/>
          <w:b/>
          <w:bCs/>
          <w:color w:val="14284B"/>
          <w:sz w:val="16"/>
          <w:szCs w:val="16"/>
        </w:rPr>
        <w:t xml:space="preserve">WHY EXPAND IF IT DOES NOT CREATE VALUE?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If growth earns less than the cost of capital, what pushes management to keep going? We put forward four hypotheses, to be verified against the annual report and financial statements. First, accounting versus economics: UF-denominated debt (79% of the total) costs ~3.6% real, below what a new asset yields, so every debt-financed project improves FFO, EBITDA and profit even if it does not cover the return required on total capital. Second, revaluation: under IAS 40 appraisals use real discount rates of 5.5–6.4%, below the real WACC, and each new asset is appraised above its cost and generates accounting profit. Third, the controlling shareholder: if the group (Falabella, to be confirmed) has anchor stores or other businesses in those malls, a new m² serves the group even if it earns little for Plaza, an agency conflict with minority shareholders (to be verified in the related-party notes). Fourth, compensation: if bonuses depend on GLA or EBITDA rather than ROIC, expanding is rational for management (to be verified). There are defensible strategic reasons (scarce land, network advantages); it is a capital-allocation risk, not a contradiction with a good business. The break-even for expansion is a real WACC of 5.3% (8.5% nominal); the WACC implied by the price (7.60% nominal, 4.5% real) is below that level: if the market were right, expanding would create value.</w:t>
      </w:r>
    </w:p>
    <w:tbl>
      <w:tblPr>
        <w:tblpPr w:leftFromText="0" w:rightFromText="0" w:topFromText="0" w:bottomFromText="0" w:tblpX="7956" w:tblpY="-4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21: </w:t>
            </w:r>
            <w:r>
              <w:rPr>
                <w:rFonts w:ascii="Arial" w:cs="Arial" w:eastAsia="Arial" w:hAnsi="Arial"/>
                <w:color w:val="14284B"/>
                <w:sz w:val="14"/>
                <w:szCs w:val="14"/>
              </w:rPr>
              <w:t xml:space="preserve">At CLP 3,555 the firm earns almost the same as its debt (real rates, UF)</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rates in UF. Source: Central Bank of Chile (30-06-26); Mallplaza;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PEERS CONFIRM THE DIRECTION, NOT THE MAGNITUDE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trades at 16.8x EV/EBITDA, above the Chilean median (15.7x) and far above Brazilian peers (9.0x). The gap with Brazil is not about quality but about rates: with local real bonds of 2.5% in Chile and 8.1% in Brazil (NTN-B), the cap-rate spread (EBITDA/EV yield; with UF-indexed rents it is compared with real rates) over the local rate is similar in both countries, 385 bp in Chile and 302 bp in Brazil (Figure 24). That is why we weight the Chilean median 70% and the common-set median 30% (which includes IRSA; we exclude Fibra Danhos because of its FIBRA regime): 14.4x, which leads to CLP 2,951 per share. The weighting matters little: from 0% to 100% Chile, the target price only moves from CLP 1,916 to 2,144 (Appendix 17).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chose the set with the beta criterion: IRSA with caution (IAS 29 reporter; one analyst on NTM) and without Fibra Danhos (FIBRA: distributes 95% of taxable income; no beta in the WACC). We use EV/EBITDA, neutral to leverage and revaluation (IAS 40), with Bloomberg net debt (CLP 1,311,569 MM for Mallplaza; the gap to the CLP 1,285,740 MM in the DCF is CLP 25,828 MM of IFRS 16 leases).</w:t>
      </w:r>
    </w:p>
    <w:tbl>
      <w:tblPr>
        <w:tblpPr w:leftFromText="0" w:rightFromText="0" w:topFromText="0" w:bottomFromText="0" w:tblpX="7956" w:tblpY="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22: </w:t>
            </w:r>
            <w:r>
              <w:rPr>
                <w:rFonts w:ascii="Arial" w:cs="Arial" w:eastAsia="Arial" w:hAnsi="Arial"/>
                <w:color w:val="14284B"/>
                <w:sz w:val="14"/>
                <w:szCs w:val="14"/>
              </w:rPr>
              <w:t xml:space="preserve">With every strong assumption in our favor the target reaches CLP 2,977, still 16% below the price</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Cumulative waterfall in the order shown; the table gives each assumption's effect alone. Target price = 80% DCF + 20% multiples. Source: DCF v4 replica;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Quality does not justify the premium either. Mallplaza trades 29% above Cenco Malls (Cencosud Shopping in the models), yet its EBITDA per m² is only 1.8% higher (see Industry); only at Parque Arauco's multiple (18.4x), which runs 5.7x leverage, would it be worth more than its price. Every multiple, from NTM EV/EBITDA (CLP 2,914) to P/BV (CLP 3,171), sits below the price (Figure 25): they confirm the stock is expensive, and the DCF gives the magnitude. We exclude P/E (CLP 8,644), distorted by property revaluation. In prices: Chilean median CLP 3,294 (−7%), Cenco Malls CLP 2,621 and only Parque Arauco CLP 3,967. Defending CLP 3,555 with multiples requires assuming Mallplaza deserves the valuation of the most leveraged peer in the group.</w:t>
      </w:r>
    </w:p>
    <w:p>
      <w:pPr>
        <w:keepNext/>
        <w:pBdr>
          <w:bottom w:val="single" w:color="E9004B" w:sz="8" w:space="1"/>
        </w:pBdr>
        <w:spacing w:after="50" w:before="110"/>
        <w:ind w:right="3766"/>
      </w:pPr>
      <w:r>
        <w:rPr>
          <w:rFonts w:ascii="Arial" w:cs="Arial" w:eastAsia="Arial" w:hAnsi="Arial"/>
          <w:b/>
          <w:bCs/>
          <w:color w:val="14284B"/>
          <w:sz w:val="16"/>
          <w:szCs w:val="16"/>
        </w:rPr>
        <w:t xml:space="preserve">WHAT THE MARKET WOULD HAVE TO BELIEVE</w:t>
      </w:r>
    </w:p>
    <w:tbl>
      <w:tblPr>
        <w:tblpPr w:leftFromText="0" w:rightFromText="0" w:topFromText="0" w:bottomFromText="0" w:tblpX="7956" w:tblpY="133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Growing below the WACC destroys value: real g = 0%</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Top: DCF value by nominal g. Bottom: relative terminal value by RONIC. Source: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price implies an EV of CLP 9.12 trillion, 69% above ours, and a real cap rate of 6.0% (LTM EBITDA / EV, comparable with real rates because rents are UF-indexed), against 10.1% in our DCF, 6.4% for Chilean peers and 7.5% at book value (Figure 26). The market pays 1.61 times an equity that is already at fair value, appraised with a real discount rate of ~5.55% (Note 11); the real IRR the price leaves, 4.5%, is below that rate: it pays more than the appraisers themselves. To justify CLP 3,555, nominal WACC would have to be 281 bp lower (7.60%, 4.5% real; Figure 27); even with the appraisers' rate (5.55% real, 8.72% nominal), the DCF would be CLP 2,679. (The implied WACC shifts the whole WACC curve; the single-rate IRR, 7.61%, is the same idea and also gives CLP 3,555.)</w:t>
      </w:r>
    </w:p>
    <w:p>
      <w:pPr>
        <w:keepNext/>
        <w:pBdr>
          <w:bottom w:val="single" w:color="E9004B" w:sz="8" w:space="1"/>
        </w:pBdr>
        <w:spacing w:after="50" w:before="110"/>
        <w:ind w:right="3766"/>
      </w:pPr>
      <w:r>
        <w:rPr>
          <w:rFonts w:ascii="Arial" w:cs="Arial" w:eastAsia="Arial" w:hAnsi="Arial"/>
          <w:b/>
          <w:bCs/>
          <w:color w:val="14284B"/>
          <w:sz w:val="16"/>
          <w:szCs w:val="16"/>
        </w:rPr>
        <w:t xml:space="preserve">WHY THE MARKET PAYS CLP 3,555</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the last twelve months the stock went from a low of CLP 2,470 (10-Oct-25) to a high of CLP 4,700 (27-Apr-26), a ~90% rise in six and a half months that the business does not explain: EBITDA grew 5–10% a year. The push was external. The Chilean market rose 56% in 2025, with a change of government and expectations of lower taxes, and mall stocks returned ~48% (LarrainVial) and re-rated together. MSCI EM Mid Cap inclusion (25-Nov-25) forced passive funds to buy ~USD 110 MM, some 15 times daily volume (Morgan Stanley). And analysts extrapolated growth: JPMorgan projects FFO growing ~11% a year to 2028, double our ~6% (2026E–2028E). The fall to CLP 3,555 (−24% from the high) coincides with weaker-than-expected results (EBITDA +5.2% in 1Q26), JPMorgan's target cut and the 10-year UST rising (5.22% on 8-Oct-26). It is a partial correction: at that price the stock trades 91% above the DCF, 33% above the value at the appraisers' rate (CLP 2,679) and at 1.61x book value. Figures attributed to analysts and milestone prices come from the team's documents (Figure 32).</w:t>
      </w:r>
    </w:p>
    <w:p>
      <w:pPr>
        <w:keepNext/>
        <w:pBdr>
          <w:bottom w:val="single" w:color="E9004B" w:sz="8" w:space="1"/>
        </w:pBdr>
        <w:spacing w:after="50" w:before="110"/>
        <w:ind w:right="3766"/>
      </w:pPr>
      <w:r>
        <w:rPr>
          <w:rFonts w:ascii="Arial" w:cs="Arial" w:eastAsia="Arial" w:hAnsi="Arial"/>
          <w:b/>
          <w:bCs/>
          <w:color w:val="14284B"/>
          <w:sz w:val="16"/>
          <w:szCs w:val="16"/>
        </w:rPr>
        <w:t xml:space="preserve">OUR VALUE VERSUS THE CONSENSUS</w:t>
      </w:r>
    </w:p>
    <w:tbl>
      <w:tblPr>
        <w:tblpPr w:leftFromText="0" w:rightFromText="0" w:topFromText="0" w:bottomFromText="0" w:tblpX="7956" w:tblpY="1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Chile and Brazil charge the same premium: multiples differ because of rates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bond: 10-year UF (BCCh) and NTN-B 2035 (8.08%) at 30-06-26. Spread = cap rate (1 / EV/EBITDA) − real bond. IRSA omitted (IAS 29). Source: Bloomberg; BCCh;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Bloomberg shows 14 sources with an average recommendation of 2.85 (1-to-5 scale; 1 buy, 10 hold, 2 sell) and a 12-month target price of CLP 4,111, 49.5% above ours; the lowest is Goldman Sachs (sell, CLP 3,377) and the range runs from 3,377 to 4,600. Four reasons explain the gap (Figure 34). The discount rate is the main one: the price requires a nominal WACC of 7.60%, 281 bp below our 10.41%, and since terminal value is 78% of EV, each point of rate weighs heavily. Multiples do not get there either: the 20% on multiples gives CLP 2,951, 17% below the price, so it is not all WACC. The horizon also counts: targets are 12-month and ours is as of 30-Jun-26; at our nominal Ke of 11.93%, CLP 4,111 is worth ~CLP 3,673 today, so the gap narrows but does not close. And growth: if growth earns less than the WACC, our model penalises it, while the market probably values it at a return close to the cap rate. Targets followed the price (the stock rose 39% in the 12 months to September 2026) and we do not know their assumptions, only their targets.</w:t>
      </w:r>
    </w:p>
    <w:p>
      <w:pPr>
        <w:keepNext/>
        <w:pBdr>
          <w:bottom w:val="single" w:color="E9004B" w:sz="8" w:space="1"/>
        </w:pBdr>
        <w:spacing w:after="50" w:before="110"/>
        <w:ind w:right="3766"/>
      </w:pPr>
      <w:r>
        <w:rPr>
          <w:rFonts w:ascii="Arial" w:cs="Arial" w:eastAsia="Arial" w:hAnsi="Arial"/>
          <w:b/>
          <w:bCs/>
          <w:color w:val="14284B"/>
          <w:sz w:val="16"/>
          <w:szCs w:val="16"/>
        </w:rPr>
        <w:t xml:space="preserve">SCENARIOS: WHAT WOULD HAVE TO HAPPEN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push the thesis to its extremes with three scenarios defined with the same levers as the Risks tornado (Figure 29), instead of moving only the discount rate; bear and bull are defined from the standpoint of the stock's value, not of the recommendation. Bear is everything going wrong at once: nominal WACC +100 bp and every operating lever at its historical minimum. Bull is everything going right: nominal WACC −100 bp, every lever at its historical maximum and a 23% tax rate (Reconstruction Law). Base is the model's central estimate. Same-store rent (price) and tenants' sales move together; nominal g stays at 3.0% in all three. The probabilities come from the risk matrix on the Risks page. Every bear or bull variable is a historical extreme, and reaching an extreme is remote: it happened once in the ~11 quarterly observations (≈9%). Each variable on its own therefore has a 2% to 10% chance of reaching its extreme in 12 months (low 2%, medium 5%, high 10%, team assumptions): +100 bp of WACC belongs to FR1 (high, 10%), the operating levers to OR1 (medium, 5%) and their opposites invert the category (−100 bp: 2%). Levers of the same risk move together and different risks are independent, so the bear has a joint probability of 0.5%, the bull 0.1% and the base holds the rest (99.4%). Weighted, the target price is CLP 2,075 (−41.6%): the extremes barely move it.</w:t>
      </w:r>
    </w:p>
    <w:p>
      <w:pPr>
        <w:keepNext w:val="false"/>
        <w:spacing w:after="30" w:before="60"/>
      </w:pPr>
      <w:r>
        <w:rPr>
          <w:rFonts w:ascii="Arial" w:cs="Arial" w:eastAsia="Arial" w:hAnsi="Arial"/>
          <w:b/>
          <w:bCs/>
          <w:color w:val="14284B"/>
          <w:sz w:val="15"/>
          <w:szCs w:val="15"/>
        </w:rPr>
        <w:t xml:space="preserve">Scenarios: bear (everything goes wrong), base (central) and bull (everything goes right)</w:t>
      </w:r>
    </w:p>
    <w:tbl>
      <w:tblPr>
        <w:tblW w:type="dxa" w:w="11505"/>
        <w:tblBorders>
          <w:top w:val="none" w:color="FFFFFF" w:sz="0"/>
          <w:left w:val="none" w:color="FFFFFF" w:sz="0"/>
          <w:bottom w:val="none" w:color="FFFFFF" w:sz="0"/>
          <w:right w:val="none" w:color="FFFFFF" w:sz="0"/>
          <w:insideH w:val="none" w:color="FFFFFF" w:sz="0"/>
          <w:insideV w:val="none" w:color="FFFFFF" w:sz="0"/>
        </w:tblBorders>
      </w:tblPr>
      <w:tblGrid>
        <w:gridCol w:w="3957"/>
        <w:gridCol w:w="2565"/>
        <w:gridCol w:w="2418"/>
        <w:gridCol w:w="2565"/>
      </w:tblGrid>
      <w:tr>
        <w:trPr>
          <w:tblHeader/>
        </w:trPr>
        <w:tc>
          <w:tcPr>
            <w:tcW w:type="dxa" w:w="395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 (all at once)</w:t>
            </w:r>
          </w:p>
        </w:tc>
        <w:tc>
          <w:tcPr>
            <w:tcW w:type="dxa" w:w="256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Bear</w:t>
            </w:r>
          </w:p>
        </w:tc>
        <w:tc>
          <w:tcPr>
            <w:tcW w:type="dxa" w:w="2418"/>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Base</w:t>
            </w:r>
          </w:p>
        </w:tc>
        <w:tc>
          <w:tcPr>
            <w:tcW w:type="dxa" w:w="256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Bull</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Terminal nominal WACC (all periods)</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+100 bp (11.41%; 8.17% real)</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(7.20% real)</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−100 bp (9.41%; 6.23% real)</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 (historical quarterly min / max)</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75.8%</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79.7% (2026E)</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81.3%</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Consolidated occupancy</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95.1%</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95.6%</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96.6%</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Same-store rent 2027–28 (price, nominal)</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5.4%</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9.4%</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Tenant sales 2027–28 (variable rent, 5.7% of LTM revenue)</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9.9%</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rent growth 2029–31</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Note 11 floor</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model</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Note 11 ceiling</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 (% of revenue)</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6.6%</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5.5%</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4.8%</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Long-run tax rate</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27%</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16.8% → 27%</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w:t>
            </w:r>
          </w:p>
        </w:tc>
      </w:tr>
      <w:tr>
        <w:trPr>
          <w:cantSplit w:val="false"/>
        </w:trPr>
        <w:tc>
          <w:tcPr>
            <w:tcW w:type="dxa" w:w="395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DCF value / 80/20 target price (CLP)</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1,190 / 1,542</w:t>
            </w:r>
          </w:p>
        </w:tc>
        <w:tc>
          <w:tcPr>
            <w:tcW w:type="dxa" w:w="2418"/>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1,859 / 2,077</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2,906 / 2,915</w:t>
            </w:r>
          </w:p>
        </w:tc>
      </w:tr>
      <w:tr>
        <w:trPr>
          <w:cantSplit w:val="false"/>
        </w:trPr>
        <w:tc>
          <w:tcPr>
            <w:tcW w:type="dxa" w:w="395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Target price vs CLP 3,555</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−56.6%</w:t>
            </w:r>
          </w:p>
        </w:tc>
        <w:tc>
          <w:tcPr>
            <w:tcW w:type="dxa" w:w="2418"/>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−41.6%</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−18.0%</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Firm IRR at the price (nom.) / gap vs WACC</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6.95% / −446 bp</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7.61% / −280 bp</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8.51% / −90 bp</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Probability (from the risk matrix)</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0.5%</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99.4%</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0.1%</w:t>
            </w:r>
          </w:p>
        </w:tc>
      </w:tr>
    </w:tbl>
    <w:p>
      <w:pPr>
        <w:keepNext w:val="false"/>
        <w:spacing w:after="60" w:before="20"/>
      </w:pPr>
      <w:r>
        <w:rPr>
          <w:rFonts w:ascii="Arial" w:cs="Arial" w:eastAsia="Arial" w:hAnsi="Arial"/>
          <w:color w:val="5F5F5F"/>
          <w:sz w:val="12"/>
          <w:szCs w:val="12"/>
        </w:rPr>
        <w:t xml:space="preserve">Operating levers are the historical extremes of the Risks tornado; nominal WACC and g; rent (price) and sales move together. Terminal nominal g 3.0% in all three. Weighted 0.5/99.4/0.1%: DCF CLP 1,856, target price CLP 2,075 (−41.6%). Source: DCF v4 replica (Appendix 18); Team analysis.</w:t>
      </w: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The price requires a nominal WACC 281 bp lower</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Terminal nominal WACC; all periods shift in parallel. Source: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result is robust: even with everything in its favour the target price (CLP 2,915) does not reach the quote. The firm's IRR at the market price barely changes across scenarios (table) and always sits below each one's WACC (446, 280 and 90 nominal bp): not even the bull leaves a margin of safety. The APV (CLP 1,895), an Rf based on the peso bond (~CLP 2,449) and other debt targets (DCF of CLP 1,820 to 1,897) lead to the same conclusion (Appendix 18).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APV also isolates the value of debt. Of its CLP 1,895 per share, CLP 1,630 is the unlevered firm and CLP 265 the tax shields of the projected debt: levering up to 3.5x adds value, but even adding it does not approach the price. Our risk-free choice is the conservative one: using the nominal peso bond (5.43%) and also adding country risk would count Chile risk twice, and even so the target price would only rise to ~CLP 2,449, 31% below the price. With an expected dividend of ~CLP 69 per share (2.0%), the expected total return is −39.6%.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is how we get to CLP 2,077 (80% × 1,859 + 20% × 2,951): 10.8x EBITDA, a real cap rate of 6.1% and 0.94x book value. Rolling the DCF forward to 30-Sep-26 would lift it to ~CLP 2,119, without changing the recommendation. The catalyst is the discount rate itself: with the nominal 10Y UST at 5.22% (8-Oct-26; highest since 2002, to be verified), long-term rates pressure cap rates, and each new appraisal moves them toward our value. What would break the thesis is the opposite: a further compression of cap rates on institutional demand for defensive assets, or a structural premium for Tier A assets (see Investment Risks, FR1). We will watch the Note 11 appraisal at each close, the spread on the company's UF bond versus its 3.6% real coupon (at the 4.33% real effective rate of the latest issue, nominal WACC would rise 12 bp and the target price would fall to CLP 2,042), the cut in corporate tax to 23% (+5.2% to the target price, not yet included) and the local AAA rating, which would probably come under pressure at 3.5x net debt/EBITDA.</w:t>
      </w:r>
    </w:p>
    <w:p>
      <w:pPr>
        <w:keepNext w:val="false"/>
        <w:spacing w:before="12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Implied value per peer multiple vs DCF and price (CLP per share)</w:t>
            </w:r>
          </w:p>
          <w:p>
            <w:pPr>
              <w:keepNext w:val="false"/>
              <w:spacing w:after="20" w:before="0" w:line="240" w:lineRule="auto"/>
              <w:jc w:val="center"/>
            </w:pPr>
            <w:r>
              <w:drawing>
                <wp:inline distT="0" distB="0" distL="0" distR="0">
                  <wp:extent cx="3009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0099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Target price = 80% DCF + 20% LTM EV/EBITDA. P/E excluded (includes revaluation). Source: Bloomberg (30-09-26); Team analysis.</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The market pays 6.0%; our cash flows are worth 10.1% (real cap rate)</w:t>
            </w:r>
          </w:p>
          <w:p>
            <w:pPr>
              <w:keepNext w:val="false"/>
              <w:spacing w:after="20" w:before="0" w:line="240" w:lineRule="auto"/>
              <w:jc w:val="center"/>
            </w:pPr>
            <w:r>
              <w:drawing>
                <wp:inline distT="0" distB="0" distL="0" distR="0">
                  <wp:extent cx="35814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581400" cy="23241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Cap rate = LTM EBITDA / EV, comparable with real rates (UF rents). Gran Plaza: subsequent event, not in the model. Source: Mallplaza; Bloomberg; DF; Team analysis.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INVESTMENT RISKS</w:t>
      </w:r>
    </w:p>
    <w:p>
      <w:pPr>
        <w:keepNext w:val="false"/>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the discount rate (FR1, high likelihood). A rise in long-term rates lowers value and reinforces the recommendation; what would break the SELL thesis is the opposite, a further compression of cap rates or a structural premium for Tier A assets. Even in the bull scenario, the target price does not reach the market price.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RISK ASSESSMENT</w:t>
            </w:r>
          </w:p>
          <w:p>
            <w:pPr>
              <w:keepNext w:val="false"/>
              <w:spacing w:after="40" w:before="0" w:line="228" w:lineRule="auto"/>
              <w:jc w:val="both"/>
            </w:pPr>
            <w:r>
              <w:rPr>
                <w:rFonts w:ascii="Arial" w:cs="Arial" w:eastAsia="Arial" w:hAnsi="Arial"/>
                <w:color w:val="1A1A1A"/>
                <w:sz w:val="16"/>
                <w:szCs w:val="16"/>
              </w:rPr>
              <w:t xml:space="preserve">Figure 28 classifies each risk by likelihood and by its impact on value per share (Figures 29, 30 and 31). Risks that could not be quantified are classified according to the team's qualitative analysis of the company. This matrix sets the scenario probabilities in Valuation: reaching a historical extreme is remote (2% to 10% per variable) and the bear and bull combine those extremes at once.</w:t>
            </w:r>
          </w:p>
          <w:p>
            <w:pPr>
              <w:keepNext w:val="false"/>
              <w:pBdr>
                <w:bottom w:val="single" w:color="E9004B" w:sz="8" w:space="1"/>
              </w:pBdr>
              <w:spacing w:after="50" w:before="110"/>
            </w:pPr>
            <w:r>
              <w:rPr>
                <w:rFonts w:ascii="Arial" w:cs="Arial" w:eastAsia="Arial" w:hAnsi="Arial"/>
                <w:b/>
                <w:bCs/>
                <w:color w:val="14284B"/>
                <w:sz w:val="16"/>
                <w:szCs w:val="16"/>
              </w:rPr>
              <w:t xml:space="preserve">OPERATIONAL RISKS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quarterly margin, cuts DCF value to CLP 1,669 (−10.2%), and the historical floor of same-store rent growth takes it to CLP 1,783 (−4.1%) (Figure 29). All levers together, with WACC +100 bp, define the bear scenario (target price CLP 1,542, −56.6% against the share price). </w:t>
            </w:r>
            <w:r>
              <w:rPr>
                <w:rFonts w:ascii="Arial" w:cs="Arial" w:eastAsia="Arial" w:hAnsi="Arial"/>
                <w:i/>
                <w:iCs/>
                <w:color w:val="5F5F5F"/>
                <w:sz w:val="16"/>
                <w:szCs w:val="16"/>
              </w:rPr>
              <w:t xml:space="preserve">(Non‑systematic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annual EBITDA margin rose from 76.2% (2022) to 80.5% (2025) and occupancy held between 95.1% and 96.6% in 4Q23–2Q26. After COVID, 1Q22 revenue was already 18% above 1Q19.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−4.1% (Figure 29). </w:t>
            </w:r>
            <w:r>
              <w:rPr>
                <w:rFonts w:ascii="Arial" w:cs="Arial" w:eastAsia="Arial" w:hAnsi="Arial"/>
                <w:i/>
                <w:iCs/>
                <w:color w:val="5F5F5F"/>
                <w:sz w:val="16"/>
                <w:szCs w:val="16"/>
              </w:rPr>
              <w:t xml:space="preserve">(Non‑systematic · Low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keepNext w:val="false"/>
              <w:pBdr>
                <w:bottom w:val="single" w:color="E9004B" w:sz="8" w:space="1"/>
              </w:pBdr>
              <w:spacing w:after="50" w:before="110"/>
            </w:pPr>
            <w:r>
              <w:rPr>
                <w:rFonts w:ascii="Arial" w:cs="Arial" w:eastAsia="Arial" w:hAnsi="Arial"/>
                <w:b/>
                <w:bCs/>
                <w:color w:val="14284B"/>
                <w:sz w:val="16"/>
                <w:szCs w:val="16"/>
              </w:rPr>
              <w:t xml:space="preserve">FINANCIAL RISKS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Long-term rates dominate value, in both directions. A rise lifts the WACC and the cost of refinancing debt and the pipeline, and is the more likely outcome: the 10Y UST moved from 4.98% (model Rf) to 5.22% on 8-Oct-26, the highest since 2002 (to be verified); the Fed hiked in September and the Central Bank of Chile reports rising local long-term rates. With nominal WACC +50 bp and +100 bp, the target price falls 6.7% and 12.5% (Figure 30), which reinforces the recommendation. What would break the thesis is the opposite: with WACC −100 bp it rises 16.6%, to CLP 2,421, and still sits 32% below the price. </w:t>
            </w:r>
            <w:r>
              <w:rPr>
                <w:rFonts w:ascii="Arial" w:cs="Arial" w:eastAsia="Arial" w:hAnsi="Arial"/>
                <w:i/>
                <w:iCs/>
                <w:color w:val="5F5F5F"/>
                <w:sz w:val="16"/>
                <w:szCs w:val="16"/>
              </w:rPr>
              <w:t xml:space="preserve">(Systematic · High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 real-rate in UF, with 6.6 years of duration, 2.36x net debt/EBITDA and a local AAA rating, which limit the pass-through to the cost of debt; UF-linked rents offset inflation. A higher cost of equity cannot be hedged.</w:t>
            </w:r>
          </w:p>
          <w:p>
            <w:pPr>
              <w:keepNext w:val="false"/>
              <w:pBdr>
                <w:bottom w:val="single" w:color="E9004B" w:sz="8" w:space="1"/>
              </w:pBdr>
              <w:spacing w:after="50" w:before="110"/>
            </w:pPr>
            <w:r>
              <w:rPr>
                <w:rFonts w:ascii="Arial" w:cs="Arial" w:eastAsia="Arial" w:hAnsi="Arial"/>
                <w:b/>
                <w:bCs/>
                <w:color w:val="14284B"/>
                <w:sz w:val="16"/>
                <w:szCs w:val="16"/>
              </w:rPr>
              <w:t xml:space="preserve">MARKET &amp; MACROECONOMIC RISKS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small, because indexed rents rise with inflation: a 100 bp rise in the long nominal rate coming entirely from expected inflation takes off only 0.3%; if it came entirely from the real rate, 12.2% (Figure 31). The risk is that weaker consumption prevents passing inflation through to rents: if only 70% of the cash flow were indexed, the effect of inflation would rise to 1.0%. Weaker consumption also slows the new business lines (Appendix 20). </w:t>
            </w:r>
            <w:r>
              <w:rPr>
                <w:rFonts w:ascii="Arial" w:cs="Arial" w:eastAsia="Arial" w:hAnsi="Arial"/>
                <w:i/>
                <w:iCs/>
                <w:color w:val="5F5F5F"/>
                <w:sz w:val="16"/>
                <w:szCs w:val="16"/>
              </w:rPr>
              <w:t xml:space="preserve">(Systematic · High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29). </w:t>
            </w:r>
            <w:r>
              <w:rPr>
                <w:rFonts w:ascii="Arial" w:cs="Arial" w:eastAsia="Arial" w:hAnsi="Arial"/>
                <w:i/>
                <w:iCs/>
                <w:color w:val="5F5F5F"/>
                <w:sz w:val="16"/>
                <w:szCs w:val="16"/>
              </w:rPr>
              <w:t xml:space="preserve">(Systematic · Low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(PEN)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keepNext w:val="false"/>
              <w:pBdr>
                <w:bottom w:val="single" w:color="E9004B" w:sz="8" w:space="1"/>
              </w:pBdr>
              <w:spacing w:after="50" w:before="110"/>
            </w:pPr>
            <w:r>
              <w:rPr>
                <w:rFonts w:ascii="Arial" w:cs="Arial" w:eastAsia="Arial" w:hAnsi="Arial"/>
                <w:b/>
                <w:bCs/>
                <w:color w:val="14284B"/>
                <w:sz w:val="16"/>
                <w:szCs w:val="16"/>
              </w:rPr>
              <w:t xml:space="preserve">REGULATORY &amp; ESG RISKS</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53.1% and leases space through Falabella, Sodimac and Tottus, which creates receivables with related parties. Fernando de Peña, Mallplaza's CEO for decades, has chaired Falabella since March 2026. Off-market contracts would directly affect rents and value. There is also a capital-allocation risk: expansion earns less than its cost (real RONIC of 5.3% against a real WACC of 7.2%), so continued growth benefits accounting profit and a controller with other businesses in those malls more than the minority shareholder (to be verified; see Valuation). </w:t>
            </w:r>
            <w:r>
              <w:rPr>
                <w:rFonts w:ascii="Arial" w:cs="Arial" w:eastAsia="Arial" w:hAnsi="Arial"/>
                <w:i/>
                <w:iCs/>
                <w:color w:val="5F5F5F"/>
                <w:sz w:val="16"/>
                <w:szCs w:val="16"/>
              </w:rPr>
              <w:t xml:space="preserve">(Non‑systematic · Low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Chile's A stable rating and Law 21,770 (Sep-25) shortens permitting. In Peru, the minimum-wage rise to S/ 1,300 and the doubling of Pensión 65 support consumption (Infobae, 28-Jul-26). Colombia contributes only ~11% of revenue. The model keeps 27%: the Chilean cut would add ~5.2%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Risk matrix</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Background colour = severity (likelihood × impact). Source: Team analysis.</w:t>
            </w:r>
          </w:p>
          <w:p>
            <w:pPr>
              <w:keepNext w:val="false"/>
              <w:spacing w:after="30" w:before="10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Operational risk tornado (CLP per share)</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Limits = historical minimum and maximum of each variable (Mallplaza releases 4Q23–2Q26; financial statements for maintenance capex and appraisal, Note 11). WACC 10.41% and g 3.0% constant. Source: Mallplaza; Team analysis.</w:t>
            </w:r>
          </w:p>
          <w:p>
            <w:pPr>
              <w:keepNext w:val="false"/>
              <w:spacing w:after="30" w:before="10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Target price sensitivity: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keepNext w:val="false"/>
              <w:spacing w:after="30" w:before="10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Target price by long nominal rate and the share of its rise that comes from inflation (CLP)</w:t>
            </w:r>
          </w:p>
          <w:p>
            <w:pPr>
              <w:keepNext w:val="false"/>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144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10-year BCP (base 6.25%, 30-Sep-26); the rise is split between real rate and inflation; 85% of cash flow is indexed to inflation (team assumption). Source: Central Bank of Chile; Team analysis.</w:t>
            </w:r>
          </w:p>
        </w:tc>
      </w:tr>
    </w:tbl>
    <w:p>
      <w:pPr>
        <w:keepNext/>
        <w:pBdr>
          <w:bottom w:val="single" w:color="14284B" w:sz="18" w:space="2"/>
        </w:pBdr>
        <w:spacing w:after="80" w:before="120"/>
        <w:ind w:right="3766"/>
      </w:pPr>
      <w:r>
        <w:rPr>
          <w:rFonts w:ascii="Arial" w:cs="Arial" w:eastAsia="Arial" w:hAnsi="Arial"/>
          <w:b/>
          <w:bCs/>
          <w:color w:val="14284B"/>
          <w:sz w:val="30"/>
          <w:szCs w:val="30"/>
        </w:rPr>
        <w:t xml:space="preserve">INVESTMENT SUMMARY</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SELL · target price CLP 2,077 per share (base case), 41.6% below the CLP 3,555 close (30-Sep-26). Three theses on the same valuation assumptions: in the bear case everything that could go wrong goes wrong, in the base case everything happens as we project it and in the bull case everything works in our favor. None reaches the price.</w:t>
      </w:r>
    </w:p>
    <w:p>
      <w:pPr>
        <w:keepNext w:val="false"/>
        <w:pBdr>
          <w:bottom w:val="single" w:color="E9004B" w:sz="8" w:space="1"/>
        </w:pBdr>
        <w:spacing w:after="50" w:before="20"/>
      </w:pPr>
      <w:r>
        <w:rPr>
          <w:rFonts w:ascii="Arial" w:cs="Arial" w:eastAsia="Arial" w:hAnsi="Arial"/>
          <w:b/>
          <w:bCs/>
          <w:color w:val="14284B"/>
          <w:sz w:val="16"/>
          <w:szCs w:val="16"/>
        </w:rPr>
        <w:t xml:space="preserve">KEY DATA</w:t>
      </w:r>
    </w:p>
    <w:tbl>
      <w:tblPr>
        <w:tblW w:type="dxa" w:w="11500"/>
        <w:tblBorders>
          <w:top w:val="none" w:color="FFFFFF" w:sz="0"/>
          <w:left w:val="none" w:color="FFFFFF" w:sz="0"/>
          <w:bottom w:val="none" w:color="FFFFFF" w:sz="0"/>
          <w:right w:val="none" w:color="FFFFFF" w:sz="0"/>
          <w:insideH w:val="none" w:color="FFFFFF" w:sz="0"/>
          <w:insideV w:val="none" w:color="FFFFFF" w:sz="0"/>
        </w:tblBorders>
      </w:tblPr>
      <w:tblGrid>
        <w:gridCol w:w="2900"/>
        <w:gridCol w:w="2000"/>
        <w:gridCol w:w="3600"/>
        <w:gridCol w:w="3000"/>
      </w:tblGrid>
      <w:tr>
        <w:trPr>
          <w:tblHeader/>
        </w:trPr>
        <w:tc>
          <w:tcPr>
            <w:tcW w:type="dxa" w:w="2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2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c>
          <w:tcPr>
            <w:tcW w:type="dxa" w:w="3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3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Recommendation</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SELL</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 / base / bull (CLP)</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1,542 / 2,077 / 2,915</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Target price (CLP)</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2,077</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Market cap (CLP bn)</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Price 30-Sep-26 (CLP)</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52-week range (CLP)</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Upside / downside</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Expected dividend 2027E (CLP)</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value (CLP)</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1,859 / 2,951</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 real WACC</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weight</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 / LTM EBITDA 2Q26</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pP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The stock rose ~90% in six months with no change in the business, then gave back 24%</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Milestone prices taken from the team's documents. The line only joins milestones: it is not the daily series. Source: team documents;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RECOMMENDATION AND TARGET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recommend SELL on Mallplaza (MALLPLAZ CI) with a target price of CLP 2,077 per share, 41.6% below the 30-Sep-26 close (−39.6% total return with an expected dividend of CLP 69, 2.0%). The target price weights the DCF value 80% (CLP 1,859, at 30-Jun-26) and the peer LTM EV/EBITDA multiple value 20% (CLP 2,951; 14.4x), and sits below the 52-week low (CLP 2,470). Mallplaza is an excellent business (UF-indexed rents, 80% EBITDA margin, 95.6% occupancy, net debt/EBITDA of 2.36x and a local AAA rating); the disagreement is about price: the stock rose ~90% with no change in the business (Figure 32) and pays a nominal WACC of 7.60% (4.5% real), 281 bp below our 10.41%.</w:t>
      </w:r>
    </w:p>
    <w:p>
      <w:pPr>
        <w:keepNext/>
        <w:pBdr>
          <w:bottom w:val="single" w:color="E9004B" w:sz="8" w:space="1"/>
        </w:pBdr>
        <w:spacing w:after="50" w:before="110"/>
        <w:ind w:right="3766"/>
      </w:pPr>
      <w:r>
        <w:rPr>
          <w:rFonts w:ascii="Arial" w:cs="Arial" w:eastAsia="Arial" w:hAnsi="Arial"/>
          <w:b/>
          <w:bCs/>
          <w:color w:val="14284B"/>
          <w:sz w:val="16"/>
          <w:szCs w:val="16"/>
        </w:rPr>
        <w:t xml:space="preserve">BEAR CASE: EVERYTHING THAT COULD GO WRONG, GOES WRONG</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Nominal WACC rises 100 bp and, at the same time, margin, occupancy, rent, sales, visitors and real growth fall to their historical low, with maintenance capex at its high. DCF value falls to CLP 1,190 and the target price to CLP 1,542 (−56.6%; total return −54.7%). Each variable on its own is a remote possibility (+100 bp of WACC, 10%, under FR1; each operating lever, 5%, under OR1), and because the operating levers move together and rates are independent, the joint probability is 0.5% (Figure 33).</w:t>
      </w:r>
    </w:p>
    <w:p>
      <w:pPr>
        <w:keepNext/>
        <w:pBdr>
          <w:bottom w:val="single" w:color="E9004B" w:sz="8" w:space="1"/>
        </w:pBdr>
        <w:spacing w:after="50" w:before="110"/>
        <w:ind w:right="3766"/>
      </w:pPr>
      <w:r>
        <w:rPr>
          <w:rFonts w:ascii="Arial" w:cs="Arial" w:eastAsia="Arial" w:hAnsi="Arial"/>
          <w:b/>
          <w:bCs/>
          <w:color w:val="14284B"/>
          <w:sz w:val="16"/>
          <w:szCs w:val="16"/>
        </w:rPr>
        <w:t xml:space="preserve">BASE CASE: EVERYTHING AS WE PROJECT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EBITDA margin of 79.7% in 2026E, occupancy of 95.6%, UF-indexed rents, a dated pipeline of 170,200 m² (USD 613 MM), continuous expansion and a terminal nominal WACC of 10.41% (7.20% real). It gives CLP 2,077 (−41.6%; total return −39.6%) and holds the rest of the distribution (99.4%): growth earns less than the cost of capital (real RONIC 5.3% against a real WACC of 7.2%), so expansion adds revenue, not value.</w:t>
      </w:r>
    </w:p>
    <w:p>
      <w:pPr>
        <w:keepNext/>
        <w:pBdr>
          <w:bottom w:val="single" w:color="E9004B" w:sz="8" w:space="1"/>
        </w:pBdr>
        <w:spacing w:after="50" w:before="110"/>
        <w:ind w:right="3766"/>
      </w:pPr>
      <w:r>
        <w:rPr>
          <w:rFonts w:ascii="Arial" w:cs="Arial" w:eastAsia="Arial" w:hAnsi="Arial"/>
          <w:b/>
          <w:bCs/>
          <w:color w:val="14284B"/>
          <w:sz w:val="16"/>
          <w:szCs w:val="16"/>
        </w:rPr>
        <w:t xml:space="preserve">BULL CASE: EVERYTHING IN OUR FAVOR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Nominal WACC falls 100 bp, every operating variable reaches its historical high (price and sales rise together through variable rent) and the long-run tax rate falls to 23% (Reconstruction Law, outside the probability). DCF value rises to CLP 2,906 and the target price to CLP 2,915 (−18.0%; total return −16.0%): even with everything in our favor the price stays 18% higher. Each variable is remote (−100 bp of WACC, 2%; operating, 5%) and the joint probability is 0.1%.</w:t>
      </w:r>
    </w:p>
    <w:p>
      <w:pPr>
        <w:keepNext w:val="false"/>
        <w:spacing w:after="30" w:before="60"/>
      </w:pPr>
      <w:r>
        <w:rPr>
          <w:rFonts w:ascii="Arial" w:cs="Arial" w:eastAsia="Arial" w:hAnsi="Arial"/>
          <w:b/>
          <w:bCs/>
          <w:color w:val="14284B"/>
          <w:sz w:val="15"/>
          <w:szCs w:val="15"/>
        </w:rPr>
        <w:t xml:space="preserve">The three theses: variables, individual probability (in brackets) and value</w:t>
      </w:r>
    </w:p>
    <w:tbl>
      <w:tblPr>
        <w:tblW w:type="dxa" w:w="11504"/>
        <w:tblBorders>
          <w:top w:val="none" w:color="FFFFFF" w:sz="0"/>
          <w:left w:val="none" w:color="FFFFFF" w:sz="0"/>
          <w:bottom w:val="none" w:color="FFFFFF" w:sz="0"/>
          <w:right w:val="none" w:color="FFFFFF" w:sz="0"/>
          <w:insideH w:val="none" w:color="FFFFFF" w:sz="0"/>
          <w:insideV w:val="none" w:color="FFFFFF" w:sz="0"/>
        </w:tblBorders>
      </w:tblPr>
      <w:tblGrid>
        <w:gridCol w:w="4630"/>
        <w:gridCol w:w="2385"/>
        <w:gridCol w:w="2104"/>
        <w:gridCol w:w="2385"/>
      </w:tblGrid>
      <w:tr>
        <w:trPr>
          <w:tblHeader/>
        </w:trPr>
        <w:tc>
          <w:tcPr>
            <w:tcW w:type="dxa" w:w="463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Variable (all at once)</w:t>
            </w:r>
          </w:p>
        </w:tc>
        <w:tc>
          <w:tcPr>
            <w:tcW w:type="dxa" w:w="238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Bear</w:t>
            </w:r>
          </w:p>
        </w:tc>
        <w:tc>
          <w:tcPr>
            <w:tcW w:type="dxa" w:w="2104"/>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Base</w:t>
            </w:r>
          </w:p>
        </w:tc>
        <w:tc>
          <w:tcPr>
            <w:tcW w:type="dxa" w:w="238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Bull</w:t>
            </w:r>
          </w:p>
        </w:tc>
      </w:tr>
      <w:tr>
        <w:trPr>
          <w:cantSplit w:val="false"/>
        </w:trPr>
        <w:tc>
          <w:tcPr>
            <w:tcW w:type="dxa" w:w="463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Terminal nominal WACC (real)</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11.41% (8.17% real) (10%)</w:t>
            </w:r>
          </w:p>
        </w:tc>
        <w:tc>
          <w:tcPr>
            <w:tcW w:type="dxa" w:w="2104"/>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(7.20% real)</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9.41% (6.23% real) (2%)</w:t>
            </w:r>
          </w:p>
        </w:tc>
      </w:tr>
      <w:tr>
        <w:trPr>
          <w:cantSplit w:val="false"/>
        </w:trPr>
        <w:tc>
          <w:tcPr>
            <w:tcW w:type="dxa" w:w="463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75.8% (5%)</w:t>
            </w:r>
          </w:p>
        </w:tc>
        <w:tc>
          <w:tcPr>
            <w:tcW w:type="dxa" w:w="2104"/>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79.7%</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81.3% (5%)</w:t>
            </w:r>
          </w:p>
        </w:tc>
      </w:tr>
      <w:tr>
        <w:trPr>
          <w:cantSplit w:val="false"/>
        </w:trPr>
        <w:tc>
          <w:tcPr>
            <w:tcW w:type="dxa" w:w="463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Occupancy</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95.1% (5%)</w:t>
            </w:r>
          </w:p>
        </w:tc>
        <w:tc>
          <w:tcPr>
            <w:tcW w:type="dxa" w:w="2104"/>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95.6%</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96.6% (5%)</w:t>
            </w:r>
          </w:p>
        </w:tc>
      </w:tr>
      <w:tr>
        <w:trPr>
          <w:cantSplit w:val="false"/>
        </w:trPr>
        <w:tc>
          <w:tcPr>
            <w:tcW w:type="dxa" w:w="463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Same-store rent 2027–28, nominal</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 (5%)</w:t>
            </w:r>
          </w:p>
        </w:tc>
        <w:tc>
          <w:tcPr>
            <w:tcW w:type="dxa" w:w="2104"/>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5.4%</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9.4% (5%)</w:t>
            </w:r>
          </w:p>
        </w:tc>
      </w:tr>
      <w:tr>
        <w:trPr>
          <w:cantSplit w:val="false"/>
        </w:trPr>
        <w:tc>
          <w:tcPr>
            <w:tcW w:type="dxa" w:w="463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Tenant sales 2027–28, nominal</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 (5%)</w:t>
            </w:r>
          </w:p>
        </w:tc>
        <w:tc>
          <w:tcPr>
            <w:tcW w:type="dxa" w:w="2104"/>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9.9% (5%)</w:t>
            </w:r>
          </w:p>
        </w:tc>
      </w:tr>
      <w:tr>
        <w:trPr>
          <w:cantSplit w:val="false"/>
        </w:trPr>
        <w:tc>
          <w:tcPr>
            <w:tcW w:type="dxa" w:w="463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rent growth 2029–31</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Note 11 floor (5%)</w:t>
            </w:r>
          </w:p>
        </w:tc>
        <w:tc>
          <w:tcPr>
            <w:tcW w:type="dxa" w:w="2104"/>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model</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Note 11 ceiling (5%)</w:t>
            </w:r>
          </w:p>
        </w:tc>
      </w:tr>
      <w:tr>
        <w:trPr>
          <w:cantSplit w:val="false"/>
        </w:trPr>
        <w:tc>
          <w:tcPr>
            <w:tcW w:type="dxa" w:w="463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 % of revenue</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6.6% (5%)</w:t>
            </w:r>
          </w:p>
        </w:tc>
        <w:tc>
          <w:tcPr>
            <w:tcW w:type="dxa" w:w="2104"/>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5.5%</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4.8% (5%)</w:t>
            </w:r>
          </w:p>
        </w:tc>
      </w:tr>
      <w:tr>
        <w:trPr>
          <w:cantSplit w:val="false"/>
        </w:trPr>
        <w:tc>
          <w:tcPr>
            <w:tcW w:type="dxa" w:w="463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Visitors 2027–28, organic growth</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5.6% (5%)</w:t>
            </w:r>
          </w:p>
        </w:tc>
        <w:tc>
          <w:tcPr>
            <w:tcW w:type="dxa" w:w="2104"/>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9.8%</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17.3% (5%)</w:t>
            </w:r>
          </w:p>
        </w:tc>
      </w:tr>
      <w:tr>
        <w:trPr>
          <w:cantSplit w:val="false"/>
        </w:trPr>
        <w:tc>
          <w:tcPr>
            <w:tcW w:type="dxa" w:w="463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Long-run tax rate</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27%</w:t>
            </w:r>
          </w:p>
        </w:tc>
        <w:tc>
          <w:tcPr>
            <w:tcW w:type="dxa" w:w="2104"/>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16.8% → 27%</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w:t>
            </w:r>
          </w:p>
        </w:tc>
      </w:tr>
      <w:tr>
        <w:trPr>
          <w:cantSplit w:val="false"/>
        </w:trPr>
        <w:tc>
          <w:tcPr>
            <w:tcW w:type="dxa" w:w="463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Joint probability</w:t>
            </w:r>
          </w:p>
        </w:tc>
        <w:tc>
          <w:tcPr>
            <w:tcW w:type="dxa" w:w="238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0.5%</w:t>
            </w:r>
          </w:p>
        </w:tc>
        <w:tc>
          <w:tcPr>
            <w:tcW w:type="dxa" w:w="2104"/>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99.4%</w:t>
            </w:r>
          </w:p>
        </w:tc>
        <w:tc>
          <w:tcPr>
            <w:tcW w:type="dxa" w:w="238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0.1%</w:t>
            </w:r>
          </w:p>
        </w:tc>
      </w:tr>
      <w:tr>
        <w:trPr>
          <w:cantSplit w:val="false"/>
        </w:trPr>
        <w:tc>
          <w:tcPr>
            <w:tcW w:type="dxa" w:w="463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Target price (CLP)</w:t>
            </w:r>
          </w:p>
        </w:tc>
        <w:tc>
          <w:tcPr>
            <w:tcW w:type="dxa" w:w="238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1,542</w:t>
            </w:r>
          </w:p>
        </w:tc>
        <w:tc>
          <w:tcPr>
            <w:tcW w:type="dxa" w:w="2104"/>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2,077</w:t>
            </w:r>
          </w:p>
        </w:tc>
        <w:tc>
          <w:tcPr>
            <w:tcW w:type="dxa" w:w="238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2,915</w:t>
            </w:r>
          </w:p>
        </w:tc>
      </w:tr>
      <w:tr>
        <w:trPr>
          <w:cantSplit w:val="false"/>
        </w:trPr>
        <w:tc>
          <w:tcPr>
            <w:tcW w:type="dxa" w:w="463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Vs. CLP 3,555 / total return</w:t>
            </w:r>
          </w:p>
        </w:tc>
        <w:tc>
          <w:tcPr>
            <w:tcW w:type="dxa" w:w="238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−56.6% / −54.7%</w:t>
            </w:r>
          </w:p>
        </w:tc>
        <w:tc>
          <w:tcPr>
            <w:tcW w:type="dxa" w:w="2104"/>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−41.6% / −39.6%</w:t>
            </w:r>
          </w:p>
        </w:tc>
        <w:tc>
          <w:tcPr>
            <w:tcW w:type="dxa" w:w="238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−18.0% / −16.0%</w:t>
            </w:r>
          </w:p>
        </w:tc>
      </w:tr>
    </w:tbl>
    <w:p>
      <w:pPr>
        <w:keepNext w:val="false"/>
        <w:spacing w:after="60" w:before="20"/>
      </w:pPr>
      <w:r>
        <w:rPr>
          <w:rFonts w:ascii="Arial" w:cs="Arial" w:eastAsia="Arial" w:hAnsi="Arial"/>
          <w:color w:val="5F5F5F"/>
          <w:sz w:val="12"/>
          <w:szCs w:val="12"/>
        </w:rPr>
        <w:t xml:space="preserve">Each variable at its historical extreme is a remote possibility: individual 12-month probability in brackets (high 10%, medium 5%, low 2%; risk matrix; team assumptions). Nominal g 3.0% in all three cases. Source: DCF v4 replica (Appendix 18); Team analysis.</w:t>
      </w:r>
    </w:p>
    <w:p>
      <w:pPr>
        <w:keepNext/>
        <w:pBdr>
          <w:bottom w:val="single" w:color="E9004B" w:sz="8" w:space="1"/>
        </w:pBdr>
        <w:spacing w:after="50" w:before="110"/>
        <w:ind w:right="3766"/>
      </w:pPr>
      <w:r>
        <w:rPr>
          <w:rFonts w:ascii="Arial" w:cs="Arial" w:eastAsia="Arial" w:hAnsi="Arial"/>
          <w:b/>
          <w:bCs/>
          <w:color w:val="14284B"/>
          <w:sz w:val="16"/>
          <w:szCs w:val="16"/>
        </w:rPr>
        <w:t xml:space="preserve">ASSUMPTIONS AND PROBABILITIES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Valuation at 30-Jun-26 and price at 30-Sep-26; FCFF in nominal CLP with mid-period convention; inflation 3.0% (UF); terminal g 3.0% nominal (0% real); Ke 11.93% and after-tax Kd 5.11% in the base case. The probabilities are team assumptions based on the risk matrix: reaching a historical extreme happened once in ~11 quarters (≈9%), and the individual 12-month probability is low 2%, medium 5% and high 10%. The weighted value is CLP 2,075 (−41.6%): the extremes barely move it.</w:t>
      </w:r>
    </w:p>
    <w:tbl>
      <w:tblPr>
        <w:tblpPr w:leftFromText="0" w:rightFromText="0" w:topFromText="0" w:bottomFromText="0" w:tblpX="7956" w:tblpY="-4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Bear, base and bull: even with everything in our favor the target price stays 18% below the price (CLP per share)</w:t>
            </w:r>
          </w:p>
          <w:p>
            <w:pPr>
              <w:keepNext w:val="false"/>
              <w:spacing w:after="20" w:before="0" w:line="240" w:lineRule="auto"/>
              <w:jc w:val="center"/>
            </w:pPr>
            <w:r>
              <w:drawing>
                <wp:inline distT="0" distB="0" distL="0" distR="0">
                  <wp:extent cx="9620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9620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Bear: everything that could go wrong, goes wrong; base: everything as we project it; bull: everything in our favor (Appendix 18). Team illustrations. Source: DCF v4 replica;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VERSUS THE CONSENSUS AND CATALYSTS</w:t>
      </w:r>
    </w:p>
    <w:tbl>
      <w:tblPr>
        <w:tblpPr w:leftFromText="0" w:rightFromText="0" w:topFromText="0" w:bottomFromText="0" w:tblpX="7956" w:tblpY="239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34: </w:t>
            </w:r>
            <w:r>
              <w:rPr>
                <w:rFonts w:ascii="Arial" w:cs="Arial" w:eastAsia="Arial" w:hAnsi="Arial"/>
                <w:color w:val="14284B"/>
                <w:sz w:val="14"/>
                <w:szCs w:val="14"/>
              </w:rPr>
              <w:t xml:space="preserve">From our DCF to the price and the consensus: the gap is the discount rate (CLP per share)</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Consensus: Bloomberg 12-month target (14 sources). “Today at our Ke” = target / (1 + terminal nominal Ke). Source: Bloomberg;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Bloomberg consensus (14 sources) sets CLP 4,111 at 12 months; the gap is the discount rate (Figure 34): at the appraisers' WACC (8.72% nominal) the DCF rises to CLP 2,679. Catalysts: high long-term rates (nominal 10Y UST at 5.22%), each new appraisal (Note 11) that moves the cap rate toward our value and the normalization of the cash tax rate from 16.8% to 27%. Risks to the thesis: cap-rate compression or a structural premium for Tier A assets, the cut to a 23% tax rate (+5.2% to the target price) and corporate governance (Falabella controls 53.1%).</w:t>
      </w:r>
    </w:p>
    <w:p>
      <w:pPr>
        <w:sectPr>
          <w:footerReference w:type="default" r:id="rId7"/>
          <w:type w:val="nextPage"/>
          <w:pgSz w:w="11906" w:h="16838" w:orient="portrait"/>
          <w:pgMar w:top="200" w:right="200" w:bottom="420" w:left="200" w:header="0" w:footer="12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APPENDICES: 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1: </w:t>
            </w:r>
            <w:r>
              <w:rPr>
                <w:rFonts w:ascii="Arial" w:cs="Arial" w:eastAsia="Arial" w:hAnsi="Arial"/>
                <w:color w:val="14284B"/>
                <w:sz w:val="14"/>
                <w:szCs w:val="14"/>
              </w:rPr>
              <w:t xml:space="preserve">Tier A assets by GLA, 2Q26 (thousand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(p.12). Tier A = 46.4% of total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2: </w:t>
            </w:r>
            <w:r>
              <w:rPr>
                <w:rFonts w:ascii="Arial" w:cs="Arial" w:eastAsia="Arial" w:hAnsi="Arial"/>
                <w:color w:val="14284B"/>
                <w:sz w:val="14"/>
                <w:szCs w:val="14"/>
              </w:rPr>
              <w:t xml:space="preserve">Department stores, % of total GLA</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INDUSTRY AND COMPETITIVE POSITIONING</w:t>
      </w:r>
    </w:p>
    <w:p>
      <w:pPr>
        <w:keepNext w:val="false"/>
        <w:pBdr>
          <w:bottom w:val="single" w:color="14284B" w:sz="12" w:space="2"/>
        </w:pBdr>
        <w:spacing w:after="70" w:before="60"/>
      </w:pPr>
      <w:r>
        <w:rPr>
          <w:rFonts w:ascii="Arial" w:cs="Arial" w:eastAsia="Arial" w:hAnsi="Arial"/>
          <w:b/>
          <w:bCs/>
          <w:color w:val="14284B"/>
          <w:sz w:val="24"/>
          <w:szCs w:val="24"/>
        </w:rPr>
        <w:t xml:space="preserve">APPENDIX 3: NEW GLA SUPPLY, 2026-2028</w:t>
      </w:r>
    </w:p>
    <w:p>
      <w:pPr>
        <w:keepNext w:val="false"/>
        <w:shd w:fill="EEF1F6" w:color="auto" w:val="clear"/>
        <w:spacing w:after="80" w:line="228" w:lineRule="auto"/>
        <w:jc w:val="both"/>
      </w:pPr>
      <w:r>
        <w:rPr>
          <w:rFonts w:ascii="Arial" w:cs="Arial" w:eastAsia="Arial" w:hAnsi="Arial"/>
          <w:color w:val="1A1A1A"/>
          <w:sz w:val="16"/>
          <w:szCs w:val="16"/>
        </w:rPr>
        <w:t xml:space="preserve">The trio will add 432,030 m² between 2026 and 2028, of which 334,030 m² are organic (6.4% of their current total GLA; in Chile, 219,900 m², equivalent to 5.1% of the main operators' GLA in Chile and 6.7% of the trio's own GLA). Acquisitions (98,000 m², all by Parque Arauco) change owner but add no supply to the industry; the supply-versus-demand analysis for Chile (Figure 3) therefore uses organic GLA only.</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4800"/>
        <w:gridCol w:w="216"/>
        <w:gridCol w:w="6490"/>
      </w:tblGrid>
      <w:tr>
        <w:tc>
          <w:tcPr>
            <w:tcW w:type="dxa" w:w="4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40"/>
            </w:pPr>
            <w:r>
              <w:rPr>
                <w:rFonts w:ascii="Arial" w:cs="Arial" w:eastAsia="Arial" w:hAnsi="Arial"/>
                <w:b/>
                <w:bCs/>
                <w:color w:val="14284B"/>
                <w:sz w:val="16"/>
                <w:szCs w:val="16"/>
              </w:rPr>
              <w:t xml:space="preserve">A. PIPELINE BY COMPANY (m²)</w:t>
            </w:r>
          </w:p>
          <w:p>
            <w:pPr>
              <w:keepNext w:val="false"/>
              <w:spacing w:after="20" w:before="0" w:line="240" w:lineRule="auto"/>
            </w:pPr>
            <w:r>
              <w:drawing>
                <wp:inline distT="0" distB="0" distL="0" distR="0">
                  <wp:extent cx="3048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048000" cy="2057400"/>
                          </a:xfrm>
                          <a:prstGeom prst="rect">
                            <a:avLst/>
                          </a:prstGeom>
                        </pic:spPr>
                      </pic:pic>
                    </a:graphicData>
                  </a:graphic>
                </wp:inline>
              </w:drawing>
            </w:r>
          </w:p>
          <w:p>
            <w:pPr>
              <w:keepNext w:val="false"/>
            </w:p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649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40"/>
            </w:pPr>
            <w:r>
              <w:rPr>
                <w:rFonts w:ascii="Arial" w:cs="Arial" w:eastAsia="Arial" w:hAnsi="Arial"/>
                <w:b/>
                <w:bCs/>
                <w:color w:val="14284B"/>
                <w:sz w:val="16"/>
                <w:szCs w:val="16"/>
              </w:rPr>
              <w:t xml:space="preserve">B. GLA BY OPENING YEAR (m²)</w:t>
            </w:r>
          </w:p>
          <w:tbl>
            <w:tblPr>
              <w:tblW w:type="dxa" w:w="5600"/>
              <w:tblBorders>
                <w:top w:val="none" w:color="FFFFFF" w:sz="0"/>
                <w:left w:val="none" w:color="FFFFFF" w:sz="0"/>
                <w:bottom w:val="none" w:color="FFFFFF" w:sz="0"/>
                <w:right w:val="none" w:color="FFFFFF" w:sz="0"/>
                <w:insideH w:val="none" w:color="FFFFFF" w:sz="0"/>
                <w:insideV w:val="none" w:color="FFFFFF" w:sz="0"/>
              </w:tblBorders>
            </w:tblPr>
            <w:tblGrid>
              <w:gridCol w:w="900"/>
              <w:gridCol w:w="640"/>
              <w:gridCol w:w="640"/>
              <w:gridCol w:w="640"/>
              <w:gridCol w:w="740"/>
              <w:gridCol w:w="700"/>
              <w:gridCol w:w="740"/>
              <w:gridCol w:w="600"/>
            </w:tblGrid>
            <w:tr>
              <w:trPr>
                <w:tblHeader/>
              </w:trPr>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2026</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Organic</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Acquis.</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Total</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Org./GLA</w:t>
                  </w:r>
                </w:p>
              </w:tc>
            </w:tr>
            <w:tr>
              <w:trPr>
                <w:cantSplit w:val="false"/>
              </w:trPr>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8,900</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72,950</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88,350</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170,200</w:t>
                  </w:r>
                </w:p>
              </w:tc>
              <w:tc>
                <w:tcPr>
                  <w:tcW w:type="dxa" w:w="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170,200</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7.2%</w:t>
                  </w:r>
                </w:p>
              </w:tc>
            </w:tr>
            <w:tr>
              <w:trPr>
                <w:cantSplit w:val="false"/>
              </w:trPr>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46,000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42,330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77,330</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98,000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175,330</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w:t>
                  </w:r>
                </w:p>
              </w:tc>
            </w:tr>
            <w:tr>
              <w:trPr>
                <w:cantSplit w:val="false"/>
              </w:trPr>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 Malls</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34,000</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52,500</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86,500</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86,500</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w:t>
                  </w:r>
                </w:p>
              </w:tc>
            </w:tr>
            <w:tr>
              <w:trPr>
                <w:cantSplit w:val="false"/>
              </w:trPr>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Trío</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95,900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152,950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183,180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334,030</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98,000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432,030</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6.4%</w:t>
                  </w:r>
                </w:p>
              </w:tc>
            </w:tr>
          </w:tbl>
          <w:p>
            <w:pPr>
              <w:keepNext w:val="false"/>
              <w:spacing w:after="0" w:before="10" w:line="216" w:lineRule="auto"/>
            </w:pPr>
            <w:r>
              <w:rPr>
                <w:rFonts w:ascii="Arial" w:cs="Arial" w:eastAsia="Arial" w:hAnsi="Arial"/>
                <w:i/>
                <w:iCs/>
                <w:color w:val="5F5F5F"/>
                <w:sz w:val="11"/>
                <w:szCs w:val="11"/>
              </w:rPr>
              <w:t xml:space="preserve">Org./GLA = organic GLA 2026-2028 over consolidated GLA at 2Q26. Mallplaza: 2028 includes 46,500 m² of “Other projects Chile”, dated 2028 by the 2025 Annual Report (p.45). Parque Arauco: 2026 = 2H26 (acquisitions). Cenco: deliveries given as a range are placed at the end of the range. In Chile, the trio's organic supply (219,900 m²) equals 5.1% of the main operators' GLA (≈4.3 million m²: 3.29 million of the trio excluding offices ÷ 76%, its share of that universe; total market GLA is not available).</w:t>
            </w:r>
          </w:p>
          <w:p>
            <w:pPr>
              <w:keepNext w:val="false"/>
            </w:pPr>
          </w:p>
        </w:tc>
      </w:tr>
    </w:tbl>
    <w:p>
      <w:pPr>
        <w:keepNext w:val="false"/>
        <w:spacing w:after="0" w:before="10" w:line="216" w:lineRule="auto"/>
      </w:pPr>
      <w:r>
        <w:rPr>
          <w:rFonts w:ascii="Arial" w:cs="Arial" w:eastAsia="Arial" w:hAnsi="Arial"/>
          <w:i/>
          <w:iCs/>
          <w:color w:val="5F5F5F"/>
          <w:sz w:val="11"/>
          <w:szCs w:val="11"/>
        </w:rPr>
        <w:t xml:space="preserve">Source: Plaza S.A., 2Q26 Release (p.13) and 2025 Annual Report (p.45); Parque Arauco, 2Q26 Investor Presentation (slide 23); Cenco Malls, 2Q26 Corporate Presentation (slides 15-17). Dated projects only.</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c>
          <w:tcPr>
            <w:tcW w:type="dxa" w:w="56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14284B" w:sz="12" w:space="2"/>
              </w:pBdr>
              <w:spacing w:after="70" w:before="160"/>
            </w:pPr>
            <w:r>
              <w:rPr>
                <w:rFonts w:ascii="Arial" w:cs="Arial" w:eastAsia="Arial" w:hAnsi="Arial"/>
                <w:b/>
                <w:bCs/>
                <w:color w:val="14284B"/>
                <w:sz w:val="24"/>
                <w:szCs w:val="24"/>
              </w:rPr>
              <w:t xml:space="preserve">APPENDIX 4: OCCUPANCY</w:t>
            </w:r>
          </w:p>
          <w:p>
            <w:pPr>
              <w:keepNext w:val="false"/>
              <w:shd w:fill="EEF1F6" w:color="auto" w:val="clear"/>
              <w:spacing w:after="80" w:line="228" w:lineRule="auto"/>
              <w:jc w:val="both"/>
            </w:pPr>
            <w:r>
              <w:rPr>
                <w:rFonts w:ascii="Arial" w:cs="Arial" w:eastAsia="Arial" w:hAnsi="Arial"/>
                <w:color w:val="1A1A1A"/>
                <w:sz w:val="16"/>
                <w:szCs w:val="16"/>
              </w:rPr>
              <w:t xml:space="preserve">The consolidated occupancy of the three operators has stayed between 93% and 99% since 2Q22, even through the inflation and high-rate cycle. Each company defines occupancy differently, so trends are compared rather than levels.</w:t>
            </w:r>
          </w:p>
          <w:p>
            <w:pPr>
              <w:keepNext w:val="false"/>
              <w:pBdr>
                <w:bottom w:val="single" w:color="E9004B" w:sz="8" w:space="1"/>
              </w:pBdr>
              <w:spacing w:after="50" w:before="40"/>
            </w:pPr>
            <w:r>
              <w:rPr>
                <w:rFonts w:ascii="Arial" w:cs="Arial" w:eastAsia="Arial" w:hAnsi="Arial"/>
                <w:b/>
                <w:bCs/>
                <w:color w:val="14284B"/>
                <w:sz w:val="16"/>
                <w:szCs w:val="16"/>
              </w:rPr>
              <w:t xml:space="preserve">A. CONSOLIDATED OCCUPANCY RATE, 2Q22-2Q26</w:t>
            </w:r>
          </w:p>
          <w:p>
            <w:pPr>
              <w:keepNext w:val="false"/>
              <w:spacing w:after="20" w:before="0" w:line="240" w:lineRule="auto"/>
            </w:pPr>
            <w:r>
              <w:drawing>
                <wp:inline distT="0" distB="0" distL="0" distR="0">
                  <wp:extent cx="35814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581400" cy="2409825"/>
                          </a:xfrm>
                          <a:prstGeom prst="rect">
                            <a:avLst/>
                          </a:prstGeom>
                        </pic:spPr>
                      </pic:pic>
                    </a:graphicData>
                  </a:graphic>
                </wp:inline>
              </w:drawing>
            </w:r>
          </w:p>
          <w:p>
            <w:pPr>
              <w:keepNext w:val="false"/>
              <w:spacing w:after="0" w:before="10" w:line="216" w:lineRule="auto"/>
            </w:pPr>
            <w:r>
              <w:rPr>
                <w:rFonts w:ascii="Arial" w:cs="Arial" w:eastAsia="Arial" w:hAnsi="Arial"/>
                <w:i/>
                <w:iCs/>
                <w:color w:val="5F5F5F"/>
                <w:sz w:val="11"/>
                <w:szCs w:val="11"/>
              </w:rPr>
              <w:t xml:space="preserve">Source: 2Q22-2Q26 earnings reports of the three companies. Mallplaza includes Open Plaza since 2Q25.</w:t>
            </w:r>
          </w:p>
          <w:p>
            <w:pPr>
              <w:keepNext w:val="false"/>
            </w:p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14284B" w:sz="12" w:space="2"/>
              </w:pBdr>
              <w:spacing w:after="70" w:before="160"/>
            </w:pPr>
            <w:r>
              <w:rPr>
                <w:rFonts w:ascii="Arial" w:cs="Arial" w:eastAsia="Arial" w:hAnsi="Arial"/>
                <w:b/>
                <w:bCs/>
                <w:color w:val="14284B"/>
                <w:sz w:val="24"/>
                <w:szCs w:val="24"/>
              </w:rPr>
              <w:t xml:space="preserve">APPENDIX 5: MARKET SHARE IN CHILE</w:t>
            </w:r>
          </w:p>
          <w:p>
            <w:pPr>
              <w:keepNext w:val="false"/>
              <w:shd w:fill="EEF1F6" w:color="auto" w:val="clear"/>
              <w:spacing w:after="80" w:line="228" w:lineRule="auto"/>
              <w:jc w:val="both"/>
            </w:pPr>
            <w:r>
              <w:rPr>
                <w:rFonts w:ascii="Arial" w:cs="Arial" w:eastAsia="Arial" w:hAnsi="Arial"/>
                <w:color w:val="1A1A1A"/>
                <w:sz w:val="16"/>
                <w:szCs w:val="16"/>
              </w:rPr>
              <w:t xml:space="preserve">The trio's GLA in Chile grew 7.3% since 2Q22. Mallplaza gave up 1.2 pp of share because it grew only through expansions, while Parque Arauco added Kennedy Oriente (70,000 m²) by purchase.</w:t>
            </w:r>
          </w:p>
          <w:p>
            <w:pPr>
              <w:keepNext w:val="false"/>
              <w:pBdr>
                <w:bottom w:val="single" w:color="E9004B" w:sz="8" w:space="1"/>
              </w:pBdr>
              <w:spacing w:after="50" w:before="40"/>
            </w:pPr>
            <w:r>
              <w:rPr>
                <w:rFonts w:ascii="Arial" w:cs="Arial" w:eastAsia="Arial" w:hAnsi="Arial"/>
                <w:b/>
                <w:bCs/>
                <w:color w:val="14284B"/>
                <w:sz w:val="16"/>
                <w:szCs w:val="16"/>
              </w:rPr>
              <w:t xml:space="preserve">A. SHARE WITHIN THE TRIO, 2Q22-2Q26 (% OF GLA)</w:t>
            </w:r>
          </w:p>
          <w:p>
            <w:pPr>
              <w:keepNext w:val="false"/>
              <w:spacing w:after="20" w:before="0" w:line="240" w:lineRule="auto"/>
            </w:pPr>
            <w:r>
              <w:drawing>
                <wp:inline distT="0" distB="0" distL="0" distR="0">
                  <wp:extent cx="35814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581400" cy="2781300"/>
                          </a:xfrm>
                          <a:prstGeom prst="rect">
                            <a:avLst/>
                          </a:prstGeom>
                        </pic:spPr>
                      </pic:pic>
                    </a:graphicData>
                  </a:graphic>
                </wp:inline>
              </w:drawing>
            </w:r>
          </w:p>
          <w:p>
            <w:pPr>
              <w:keepNext w:val="false"/>
              <w:spacing w:after="0" w:before="10" w:line="216" w:lineRule="auto"/>
            </w:pPr>
            <w:r>
              <w:rPr>
                <w:rFonts w:ascii="Arial" w:cs="Arial" w:eastAsia="Arial" w:hAnsi="Arial"/>
                <w:i/>
                <w:iCs/>
                <w:color w:val="5F5F5F"/>
                <w:sz w:val="11"/>
                <w:szCs w:val="11"/>
              </w:rPr>
              <w:t xml:space="preserve">Source: 2Q22-2Q26 earnings reports of the three companies; Team analysis.</w:t>
            </w:r>
          </w:p>
          <w:p>
            <w:pPr>
              <w:keepNext w:val="false"/>
            </w:pPr>
          </w:p>
        </w:tc>
      </w:tr>
    </w:tbl>
    <w:p>
      <w:pPr>
        <w:keepNext w:val="false"/>
        <w:pBdr>
          <w:bottom w:val="single" w:color="14284B" w:sz="12" w:space="2"/>
        </w:pBdr>
        <w:spacing w:after="70" w:before="0"/>
      </w:pPr>
      <w:r>
        <w:rPr>
          <w:rFonts w:ascii="Arial" w:cs="Arial" w:eastAsia="Arial" w:hAnsi="Arial"/>
          <w:b/>
          <w:bCs/>
          <w:color w:val="14284B"/>
          <w:sz w:val="24"/>
          <w:szCs w:val="24"/>
        </w:rPr>
        <w:t xml:space="preserve">APPENDIX 6: PORTER'S FIVE FORCES</w:t>
      </w:r>
    </w:p>
    <w:p>
      <w:pPr>
        <w:keepNext w:val="false"/>
        <w:shd w:fill="EEF1F6" w:color="auto" w:val="clear"/>
        <w:spacing w:after="80" w:line="228" w:lineRule="auto"/>
        <w:jc w:val="both"/>
      </w:pPr>
      <w:r>
        <w:rPr>
          <w:rFonts w:ascii="Arial" w:cs="Arial" w:eastAsia="Arial" w:hAnsi="Arial"/>
          <w:color w:val="1A1A1A"/>
          <w:sz w:val="16"/>
          <w:szCs w:val="16"/>
        </w:rPr>
        <w:t xml:space="preserve">Attractive industry: with whole-number scores by country weighted by Mallplaza's GLA, the only intense force is rivalry (4), which plays out in experience and assets rather than price, since in 2Q26 same-store rents rose in Chile at all three operators (table B).</w:t>
      </w:r>
    </w:p>
    <w:p>
      <w:pPr>
        <w:keepNext w:val="false"/>
        <w:pBdr>
          <w:bottom w:val="single" w:color="E9004B" w:sz="8" w:space="1"/>
        </w:pBdr>
        <w:spacing w:after="50" w:before="40"/>
      </w:pPr>
      <w:r>
        <w:rPr>
          <w:rFonts w:ascii="Arial" w:cs="Arial" w:eastAsia="Arial" w:hAnsi="Arial"/>
          <w:b/>
          <w:bCs/>
          <w:color w:val="14284B"/>
          <w:sz w:val="16"/>
          <w:szCs w:val="16"/>
        </w:rPr>
        <w:t xml:space="preserve">A. SCORES BY COUNTRY AND MAIN EVIDENCE (1 = WEAK FORCE; 5 = INTENSE FORCE)</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500"/>
        <w:gridCol w:w="600"/>
        <w:gridCol w:w="560"/>
        <w:gridCol w:w="780"/>
        <w:gridCol w:w="560"/>
        <w:gridCol w:w="7506"/>
      </w:tblGrid>
      <w:tr>
        <w:trPr>
          <w:tblHeader/>
        </w:trPr>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Force</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56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Peru</w:t>
            </w:r>
          </w:p>
        </w:tc>
        <w:tc>
          <w:tcPr>
            <w:tcW w:type="dxa" w:w="7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56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75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Main evidence</w:t>
            </w:r>
          </w:p>
        </w:tc>
      </w:tr>
      <w:tr>
        <w:trPr>
          <w:cantSplit w:val="false"/>
        </w:trPr>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Rivalry</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56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7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56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750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CR3 76% / 37% / 13%; reinvestment race in experience; asset purchases (Minka, Plaza Central; Quilín and Chicureo announced); supply catching up with consumption in 2027. Stable shares and margins of 71-90%. No price war: positive SSR/SAR in Chile (table B).</w:t>
            </w:r>
          </w:p>
        </w:tc>
      </w:tr>
      <w:tr>
        <w:trPr>
          <w:cantSplit w:val="false"/>
        </w:trPr>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entrants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5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intensive (USD 613 million for 170,200 m² at Mallplaza); incumbents' land banks; Peru and Colombia less concentrated; Colombia with most malls under horizontal ownership.</w:t>
            </w:r>
          </w:p>
        </w:tc>
      </w:tr>
      <w:tr>
        <w:trPr>
          <w:cantSplit w:val="false"/>
        </w:trPr>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Tenant bargaining power</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5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occupancy 96-99%; contracts averaging 5.0-8.7 years; top 5 = 18% of Mallplaza's revenue; Chile SSR above CPI (6.9% vs 4.8%, 1Q23-2Q26); department stores 19.0% of GLA.</w:t>
            </w:r>
          </w:p>
        </w:tc>
      </w:tr>
      <w:tr>
        <w:trPr>
          <w:cantSplit w:val="false"/>
        </w:trPr>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Supplier bargaining power</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5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 expenses passed through to tenants (2025 Annual Report, note 2.20); cost of sales 6.2% of Mallplaza's revenue.</w:t>
            </w:r>
          </w:p>
        </w:tc>
      </w:tr>
      <w:tr>
        <w:trPr>
          <w:cantSplit w:val="false"/>
        </w:trPr>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Substitutes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5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of Mallplaza's rental income is fixed; 2Q26 visits +4.4% Chile, +1.3% Peru, +2.5% Colombia; shift to experience. No official e-commerce data by country.</w:t>
            </w:r>
          </w:p>
        </w:tc>
      </w:tr>
    </w:tbl>
    <w:p>
      <w:pPr>
        <w:keepNext w:val="false"/>
        <w:spacing w:after="0" w:before="10" w:line="216" w:lineRule="auto"/>
      </w:pPr>
      <w:r>
        <w:rPr>
          <w:rFonts w:ascii="Arial" w:cs="Arial" w:eastAsia="Arial" w:hAnsi="Arial"/>
          <w:i/>
          <w:iCs/>
          <w:color w:val="5F5F5F"/>
          <w:sz w:val="11"/>
          <w:szCs w:val="11"/>
        </w:rPr>
        <w:t xml:space="preserve">Source: Team analysis. Final score = average weighted by Mallplaza's GLA at 2Q26 (Chile 61.9%, Peru 26.2%, Colombia 11.9%), rounded to the nearest integer. For new entrants the weighted score sits at the threshold (1.5) and the team sets it at 2 because of lower entry barriers in Peru and Colombia.</w:t>
      </w:r>
    </w:p>
    <w:p>
      <w:pPr>
        <w:keepNext w:val="false"/>
        <w:pBdr>
          <w:bottom w:val="single" w:color="E9004B" w:sz="8" w:space="1"/>
        </w:pBdr>
        <w:spacing w:after="50" w:before="120"/>
      </w:pPr>
      <w:r>
        <w:rPr>
          <w:rFonts w:ascii="Arial" w:cs="Arial" w:eastAsia="Arial" w:hAnsi="Arial"/>
          <w:b/>
          <w:bCs/>
          <w:color w:val="14284B"/>
          <w:sz w:val="16"/>
          <w:szCs w:val="16"/>
        </w:rPr>
        <w:t xml:space="preserve">B. PRICE INDICATORS BY OPERATOR, 2Q26</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900"/>
        <w:gridCol w:w="800"/>
        <w:gridCol w:w="2300"/>
        <w:gridCol w:w="2300"/>
        <w:gridCol w:w="3206"/>
      </w:tblGrid>
      <w:tr>
        <w:trPr>
          <w:tblHeader/>
        </w:trPr>
        <w:tc>
          <w:tcPr>
            <w:tcW w:type="dxa" w:w="2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Indicator</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Mallplaza</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Cenco Malls</w:t>
            </w:r>
          </w:p>
        </w:tc>
        <w:tc>
          <w:tcPr>
            <w:tcW w:type="dxa" w:w="32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Parque Arauco</w:t>
            </w:r>
          </w:p>
        </w:tc>
      </w:tr>
      <w:tr>
        <w:trPr>
          <w:cantSplit w:val="false"/>
        </w:trPr>
        <w:tc>
          <w:tcPr>
            <w:tcW w:type="dxa" w:w="2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Same-store or same-area rent (YoY change)</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SSR +5.4%</w:t>
            </w:r>
          </w:p>
        </w:tc>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SSR +0.8%</w:t>
            </w:r>
          </w:p>
        </w:tc>
        <w:tc>
          <w:tcPr>
            <w:tcW w:type="dxa" w:w="320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SAR +3.8%</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+4.7%</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+11.0%</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SAR +3.0%</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+7.5%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−9.9%</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SAR +13.0%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Monthly revenue per m² (YoY change)</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CLP 28,618 (+6.6%)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Not published</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CLP 31,571 (+9.6%)</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PEN 66 (+10.0%)</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Not published</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PEN 68 (−0.1%)</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COP 84,790 (+8.0%)</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Not published</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COP 125,932 (+10.3%)</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Occupancy cost (2Q25)</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10.3% (10.2%)</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 (8.8%)</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 (11.1%)*</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 (7.4%)</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 (8.8%)</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8.1% (8.4%)*</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 (10.4%)</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 (7.5%)</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 (11.5%)*</w:t>
            </w:r>
          </w:p>
        </w:tc>
      </w:tr>
    </w:tbl>
    <w:p>
      <w:pPr>
        <w:keepNext w:val="false"/>
        <w:spacing w:after="0" w:before="10" w:line="216" w:lineRule="auto"/>
      </w:pPr>
      <w:r>
        <w:rPr>
          <w:rFonts w:ascii="Arial" w:cs="Arial" w:eastAsia="Arial" w:hAnsi="Arial"/>
          <w:i/>
          <w:iCs/>
          <w:color w:val="5F5F5F"/>
          <w:sz w:val="11"/>
          <w:szCs w:val="11"/>
        </w:rPr>
        <w:t xml:space="preserve">Source: Plaza S.A., 2Q26 Release (p.18); Cenco Malls, 2Q26 Earnings Presentation (p.17); Parque Arauco, 2Q26 Earnings Report (p.5, p.6 and p.21). Each indicator follows each company's definition: Mallplaza's SSR considers fixed rent in Chile and the change in the UF; Cenco's includes variable rent (Cenco 1Q26: “SSR Chile reflects the effect of lower sales”); Parque Arauco's SAR measures rent collected in areas leased in both periods. *Includes common expenses and promotion fund: its level is not comparable, its change is. Mallplaza's revenue per m² change in Colombia (+8.0%) is a team calculation: 84,790 / 78,545 − 1. Everything else is published data.</w:t>
      </w:r>
    </w:p>
    <w:p>
      <w:pPr>
        <w:keepNext w:val="false"/>
        <w:pBdr>
          <w:bottom w:val="single" w:color="14284B" w:sz="12" w:space="2"/>
        </w:pBdr>
        <w:spacing w:after="70" w:before="200"/>
      </w:pPr>
      <w:r>
        <w:rPr>
          <w:rFonts w:ascii="Arial" w:cs="Arial" w:eastAsia="Arial" w:hAnsi="Arial"/>
          <w:b/>
          <w:bCs/>
          <w:color w:val="14284B"/>
          <w:sz w:val="24"/>
          <w:szCs w:val="24"/>
        </w:rPr>
        <w:t xml:space="preserve">APPENDIX 7: MAIN ASSUMPTIONS</w:t>
      </w:r>
    </w:p>
    <w:p>
      <w:pPr>
        <w:keepNext w:val="false"/>
        <w:shd w:fill="EEF1F6" w:color="auto" w:val="clear"/>
        <w:spacing w:after="80" w:line="228" w:lineRule="auto"/>
        <w:jc w:val="both"/>
      </w:pPr>
      <w:r>
        <w:rPr>
          <w:rFonts w:ascii="Arial" w:cs="Arial" w:eastAsia="Arial" w:hAnsi="Arial"/>
          <w:color w:val="1A1A1A"/>
          <w:sz w:val="16"/>
          <w:szCs w:val="16"/>
        </w:rPr>
        <w:t xml:space="preserve">Criteria used so that figures are comparable across operators and consistent with the official 2Q26 reports.</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800"/>
        <w:gridCol w:w="9706"/>
      </w:tblGrid>
      <w:tr>
        <w:trPr>
          <w:tblHeader/>
        </w:trPr>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Topic</w:t>
            </w:r>
          </w:p>
        </w:tc>
        <w:tc>
          <w:tcPr>
            <w:tcW w:type="dxa" w:w="97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Measured by GLA (not by sales) over each country's main operators (slide 7, 2Q26 Institutional Presentation). Partial HHI: considers only the operators identified on slide 7, so it is a floor (the real HHI is equal or higher); classified with the 2023 DOJ/FTC Merger Guidelines thresholds (above 1,800 = highly concentrated). Colombia pro forma: includes Gran Plaza (announced acquisition of 179,667 m²; 2Q26 Release); without it, Mallplaza's share would be 4.3%.</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Only dated projects in official reports at 2Q26 and the 2025 Annual Report; dates given as a range are placed at the end of the range; acquisitions are not new supply for the industry.</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Supply vs demand</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only and only m² that depend on consumption (excludes offices and multifamily); base GLA excludes Cenco's offices. Private consumption from the September 2026 IPoM is used as a demand indicator, not as a sales projection. Main-operators GLA in Chile ≈ trio GLA excluding offices ÷ 76% (the trio's share of that universe, slide 7); total market GLA is not available, and the trio's supply is a lower bound of the industry's supply.</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per m²</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per each company's definition (none includes the IAS 40 revaluation); 2Q26 EBITDA not annualized; GLA consolidated at 100% of controlled assets. Parque Arauco: multifamily NOI (CLP 503 million) is subtracted, since its size is reported in units and not in m²; effect −0.7%, does not change the ranking.</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Contracts</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Profile and duration weighted by GLA. Cenco states it explicitly; Parque Arauco presents its maturity profile as % of GLA but does not state the basis of its average duration; Mallplaza does not publish the basis. In both cases GLA is assumed.</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sales</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Tenant sales in Chile 2Q26 vs 2Q25 deflated with the 12-month CPI of June 2026 (4.3%; INE, release of 08-07-2026). Cenco 2Q25 calculated from its published change (−1.9%).</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Plaza (Peru)</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InRetail 2Q26 adjusted EBITDA, Shopping Malls segment (S/ 131 million; excludes investment property revaluation) ÷ total GLA of 888,000 m² (InRetail, 2Q26 Corporate Presentation, p.26 and p.29). Mallplaza Peru: published monthly EBITDA per m² (S/ 53) × 3 (2Q26 Release, p.18). Margins are not compared: InRetail calculates its own on net rent.</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Dates</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Company data as of 30-Jun-2026; macro projections from the September 2026 IPoM as the most recent available.</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APPENDIX 8: CORPORATE GOVERNANCE AND SUSTAINABILITY</w:t>
      </w:r>
    </w:p>
    <w:p>
      <w:pPr>
        <w:keepNext w:val="false"/>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keepNext w:val="false"/>
        <w:pBdr>
          <w:bottom w:val="single" w:color="E9004B" w:sz="8" w:space="1"/>
        </w:pBdr>
        <w:spacing w:after="50" w:before="60"/>
      </w:pPr>
      <w:r>
        <w:rPr>
          <w:rFonts w:ascii="Arial" w:cs="Arial" w:eastAsia="Arial" w:hAnsi="Arial"/>
          <w:b/>
          <w:bCs/>
          <w:color w:val="14284B"/>
          <w:sz w:val="16"/>
          <w:szCs w:val="16"/>
        </w:rPr>
        <w:t xml:space="preserve">1. OWNERSHIP STRUCTURE (31-DEC-2025)</w:t>
      </w:r>
    </w:p>
    <w:p>
      <w:pPr>
        <w:keepNext w:val="false"/>
        <w:spacing w:after="30" w:before="20" w:line="228" w:lineRule="auto"/>
      </w:pPr>
      <w:r>
        <w:rPr>
          <w:rFonts w:ascii="Arial" w:cs="Arial" w:eastAsia="Arial" w:hAnsi="Arial"/>
          <w:b/>
          <w:bCs/>
          <w:color w:val="14284B"/>
          <w:sz w:val="14"/>
          <w:szCs w:val="14"/>
        </w:rPr>
        <w:t xml:space="preserve">Figure 8.1: </w:t>
      </w:r>
      <w:r>
        <w:rPr>
          <w:rFonts w:ascii="Arial" w:cs="Arial" w:eastAsia="Arial" w:hAnsi="Arial"/>
          <w:color w:val="14284B"/>
          <w:sz w:val="14"/>
          <w:szCs w:val="14"/>
        </w:rPr>
        <w:t xml:space="preserve">Shareholding by type of shareholder</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53.10%</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BOARD OF DIRECTORS (ELECTED 22-APR-2025)</w:t>
      </w:r>
    </w:p>
    <w:p>
      <w:pPr>
        <w:keepNext w:val="false"/>
        <w:spacing w:after="30" w:before="20" w:line="228" w:lineRule="auto"/>
      </w:pPr>
      <w:r>
        <w:rPr>
          <w:rFonts w:ascii="Arial" w:cs="Arial" w:eastAsia="Arial" w:hAnsi="Arial"/>
          <w:b/>
          <w:bCs/>
          <w:color w:val="14284B"/>
          <w:sz w:val="14"/>
          <w:szCs w:val="14"/>
        </w:rPr>
        <w:t xml:space="preserve">Figure 8.2: </w:t>
      </w:r>
      <w:r>
        <w:rPr>
          <w:rFonts w:ascii="Arial" w:cs="Arial" w:eastAsia="Arial" w:hAnsi="Arial"/>
          <w:color w:val="14284B"/>
          <w:sz w:val="14"/>
          <w:szCs w:val="14"/>
        </w:rPr>
        <w:t xml:space="preserve">Board members (red: independent director; blue: chairman)</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4. STAKEHOLDER ENGAGEMENT MODEL</w:t>
      </w:r>
    </w:p>
    <w:p>
      <w:pPr>
        <w:keepNext w:val="false"/>
        <w:spacing w:after="30" w:before="20" w:line="228" w:lineRule="auto"/>
      </w:pPr>
      <w:r>
        <w:rPr>
          <w:rFonts w:ascii="Arial" w:cs="Arial" w:eastAsia="Arial" w:hAnsi="Arial"/>
          <w:b/>
          <w:bCs/>
          <w:color w:val="14284B"/>
          <w:sz w:val="14"/>
          <w:szCs w:val="14"/>
        </w:rPr>
        <w:t xml:space="preserve">Figure 8.3: </w:t>
      </w:r>
      <w:r>
        <w:rPr>
          <w:rFonts w:ascii="Arial" w:cs="Arial" w:eastAsia="Arial" w:hAnsi="Arial"/>
          <w:color w:val="14284B"/>
          <w:sz w:val="14"/>
          <w:szCs w:val="14"/>
        </w:rPr>
        <w:t xml:space="preserve">Implementation process of the engagement model</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Leadership</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Participation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Figure 8.4: </w:t>
            </w:r>
            <w:r>
              <w:rPr>
                <w:rFonts w:ascii="Arial" w:cs="Arial" w:eastAsia="Arial" w:hAnsi="Arial"/>
                <w:color w:val="14284B"/>
                <w:sz w:val="14"/>
                <w:szCs w:val="14"/>
              </w:rPr>
              <w:t xml:space="preserve">Waste generation by country</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keepNext w:val="false"/>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keepNext w:val="false"/>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p>
      <w:pPr>
        <w:keepNext w:val="false"/>
        <w:pBdr>
          <w:bottom w:val="single" w:color="E9004B" w:sz="8" w:space="1"/>
        </w:pBdr>
        <w:spacing w:after="50" w:before="160"/>
      </w:pPr>
      <w:r>
        <w:rPr>
          <w:rFonts w:ascii="Arial" w:cs="Arial" w:eastAsia="Arial" w:hAnsi="Arial"/>
          <w:b/>
          <w:bCs/>
          <w:color w:val="14284B"/>
          <w:sz w:val="16"/>
          <w:szCs w:val="16"/>
        </w:rPr>
        <w:t xml:space="preserve">7. ESG RISK MATRIX</w:t>
      </w:r>
    </w:p>
    <w:p>
      <w:pPr>
        <w:keepNext w:val="false"/>
        <w:spacing w:after="30" w:before="20" w:line="228" w:lineRule="auto"/>
      </w:pPr>
      <w:r>
        <w:rPr>
          <w:rFonts w:ascii="Arial" w:cs="Arial" w:eastAsia="Arial" w:hAnsi="Arial"/>
          <w:b/>
          <w:bCs/>
          <w:color w:val="14284B"/>
          <w:sz w:val="14"/>
          <w:szCs w:val="14"/>
        </w:rPr>
        <w:t xml:space="preserve">Figure 8.5: </w:t>
      </w:r>
      <w:r>
        <w:rPr>
          <w:rFonts w:ascii="Arial" w:cs="Arial" w:eastAsia="Arial" w:hAnsi="Arial"/>
          <w:color w:val="14284B"/>
          <w:sz w:val="14"/>
          <w:szCs w:val="14"/>
        </w:rPr>
        <w:t xml:space="preserve">ESG factor matrix and its effect on the investment case</w:t>
      </w:r>
    </w:p>
    <w:p>
      <w:pPr>
        <w:keepNext w:val="false"/>
        <w:spacing w:after="20" w:before="0" w:line="240" w:lineRule="auto"/>
      </w:pPr>
      <w:r>
        <w:drawing>
          <wp:inline distT="0" distB="0" distL="0" distR="0">
            <wp:extent cx="6772275"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772275" cy="46196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Materiality, time horizon, ability to absorb losses and net effect are team assessments. Framework adapted from S&amp;P Global Ratings' approach to ESG credit factors. Source: Mallplaza Annual Report 2025, Bloomberg, MSCI, Sustainalytics, S&amp;P Global; Team analysis.</w:t>
      </w:r>
    </w:p>
    <w:p>
      <w:pPr>
        <w:keepNext w:val="false"/>
        <w:pBdr>
          <w:bottom w:val="single" w:color="E9004B" w:sz="8" w:space="1"/>
        </w:pBdr>
        <w:spacing w:after="50" w:before="160"/>
      </w:pPr>
      <w:r>
        <w:rPr>
          <w:rFonts w:ascii="Arial" w:cs="Arial" w:eastAsia="Arial" w:hAnsi="Arial"/>
          <w:b/>
          <w:bCs/>
          <w:color w:val="14284B"/>
          <w:sz w:val="16"/>
          <w:szCs w:val="16"/>
        </w:rPr>
        <w:t xml:space="preserve">8. EXECUTIVE TEAM TRACK RECORD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2300"/>
        <w:gridCol w:w="1000"/>
        <w:gridCol w:w="2000"/>
        <w:gridCol w:w="34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Name</w:t>
            </w:r>
          </w:p>
        </w:tc>
        <w:tc>
          <w:tcPr>
            <w:tcW w:type="dxa" w:w="23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Role at PLAZA</w:t>
            </w:r>
          </w:p>
        </w:tc>
        <w:tc>
          <w:tcPr>
            <w:tcW w:type="dxa" w:w="1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Tenure</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Previous experience</w:t>
            </w:r>
          </w:p>
        </w:tc>
        <w:tc>
          <w:tcPr>
            <w:tcW w:type="dxa" w:w="34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Profile and responsibilities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Pablo Pulido Sierra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CEO (since 2026)</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10 years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Grupo Casino, Grupo Éxito</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Commercial profile; experience in regional integrations.</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Fernando de Peña Iver</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CEO (until 2025)</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35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Led the company until 2025; extensive career in Latin American retail.</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Derek Schweitzer Tang</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Administration and Finance Officer (CFO)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Since 2023</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BRMalls</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International experience; his area leads the financial structure and the entry into global indices (MSCI).</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Carlos Honorato C.</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CTO, Chief Technology Officer</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Ripley.com, Neoris, Alto Movup, ProChile</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modernizing omnichannel sales and corporate cybersecurity.</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María Sol de Cabo</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People and Culture Officer</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Since 2025</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Betterfly</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Over 20 years of international experience in talent management.</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Oscar Munizaga Delfín</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Development and Business Officer</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34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growth through M&amp;A and greenfield developments.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Luis Hernán Silva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Legal, Risk and Compliance Officer</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27 years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corporate legal affairs and risk and compliance management.</w:t>
            </w:r>
          </w:p>
        </w:tc>
      </w:tr>
    </w:tbl>
    <w:p>
      <w:pPr>
        <w:keepNext w:val="false"/>
        <w:spacing w:after="0" w:before="10" w:line="216" w:lineRule="auto"/>
      </w:pPr>
      <w:r>
        <w:rPr>
          <w:rFonts w:ascii="Arial" w:cs="Arial" w:eastAsia="Arial" w:hAnsi="Arial"/>
          <w:color w:val="5F5F5F"/>
          <w:sz w:val="11"/>
          <w:szCs w:val="11"/>
        </w:rPr>
        <w:t xml:space="preserve">Source: company public information; Team notes (track record).</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FINANCIAL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9: </w:t>
            </w:r>
            <w:r>
              <w:rPr>
                <w:rFonts w:ascii="Arial" w:cs="Arial" w:eastAsia="Arial" w:hAnsi="Arial"/>
                <w:color w:val="14284B"/>
                <w:sz w:val="14"/>
                <w:szCs w:val="14"/>
              </w:rPr>
              <w:t xml:space="preserve">Forecast assumptions (nominal CLP,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50"/>
              <w:gridCol w:w="2350"/>
              <w:gridCol w:w="1375"/>
              <w:gridCol w:w="450"/>
            </w:tblGrid>
            <w:tr>
              <w:trPr>
                <w:tblHeader/>
              </w:trPr>
              <w:tc>
                <w:tcPr>
                  <w:tcW w:type="dxa" w:w="10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3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Assumption</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Basis</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2026E anchor</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actual + 2H26E repeating the 1H26 local-currency growth (Chile 6.1%, Peru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Interim financials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Inflation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CPI 2026–28; central-bank targets from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Rents indexed to UF/CPI</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Real same-store growth (ex parking)</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Peru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Appraisal midpoints (Note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Occupancy</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and Colombia 97.5% constant; Peru 93.8% → 94.6% by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actual; Peru returns to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of 2026 revenue; real growth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(LTM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Pipeline GLA</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88,350 m² (2028, incl. 46,500 m² of other projects in Chile); 35/90/100% ramp; 170,200 m² in total</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2025 Annual Report (p. 45)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Continuous expansion</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m²/yr opening from 2029E (67% Chile / 33% Peru); USD 3,603/m² indexed to CPI; capex 50% in t−2 and 50% in t−1 (from 2027E); 80.7% margin; yield on cost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Organic GLA avg 2022, 2023, 2025; pipeline cost/m²</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FX</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Year-end consensus 2026–28; purchasing-power parity afterwards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EBITDA margin</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Peru 82%, Colombia 74% (≈ 79.7% consolidated)</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2024–LTM 2Q26; 2025 peak not extrapolated</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0.704% of revenue from 2H26E; 2026E = 1H26 actual (2,993) + 2H26E (2,565)</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LTM 2Q26 (4,766 / 677,333)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Cash tax</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 Chile's rate on all EBIT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current tax; Peru/Colombia in Appendix 18</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Maintenance + IT capex</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of revenue (2H26E: half year)</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LTM 2Q26 (~6.6%)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Incremental capex: pipeline</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579m remaining at Jun-26 (USD 445m dated projects + USD 134m other projects in Chile), spread until opening (2H26E–28E)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pipeline; Exhibits v7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Incremental capex: expansion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Continuous expansion (above); terminal incremental capex = 0 (real g 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RONIC 5.3% &lt; real WACC 7.2%</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Working capital</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operating working capital at 15.6% of revenue (Dec-25); 2026E covers 2H26E only</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Dec-25 financials, first close with full Peru</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Leverage</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debt/EBITDA 2.36x (Jun-26) → 3.5x by Dec-31E, linear; cash above plan returned via buybacks or special dividends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Team assumption; peers 2.1x–5.7x</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 of debt</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financial cost 3.08% of opening net debt + 25bp real per turn above 2.36x; UF indexation on 79% of debt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annualized; team assumption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Excluded: greenfield (Mallplaza Cali)</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0.7m LTM Jun-26 vs USD 55.2m in 2023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Immaterial</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Excluded: Gran Plaza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Subsequent event: 31-Jul-26 contract subject to the SIC (Note 30); USD 376m at a 9.4% cap rate (LTM NOI); ~−CLP 11/share at our cap rate (Appendix 18)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After the valuation date (30-Jun-26)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of distributable profit with a one-year lag, plus the additional distributions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Board policy (Note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reported · C team calculation · S team assumption · P market consensus. Source: Plaza S.A. financial statements (CMF); 2Q26 release; Bloomberg ECFC; PwC Tax Summaries (Jul-26);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10: </w:t>
            </w:r>
            <w:r>
              <w:rPr>
                <w:rFonts w:ascii="Arial" w:cs="Arial" w:eastAsia="Arial" w:hAnsi="Arial"/>
                <w:color w:val="14284B"/>
                <w:sz w:val="14"/>
                <w:szCs w:val="14"/>
              </w:rPr>
              <w:t xml:space="preserve">Summary financial statements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Income statement</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(company definition)</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Revaluation and other op. items, net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profit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financial cost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UF indexation of debt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Attributable profit</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Attributable FFO (company)</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125"/>
              <w:tblBorders>
                <w:top w:val="none" w:color="FFFFFF" w:sz="0"/>
                <w:left w:val="none" w:color="FFFFFF" w:sz="0"/>
                <w:bottom w:val="none" w:color="FFFFFF" w:sz="0"/>
                <w:right w:val="none" w:color="FFFFFF" w:sz="0"/>
                <w:insideH w:val="none" w:color="FFFFFF" w:sz="0"/>
                <w:insideV w:val="none" w:color="FFFFFF" w:sz="0"/>
              </w:tblBorders>
            </w:tblPr>
            <w:tblGrid>
              <w:gridCol w:w="2125"/>
              <w:gridCol w:w="615"/>
              <w:gridCol w:w="615"/>
              <w:gridCol w:w="615"/>
              <w:gridCol w:w="615"/>
              <w:gridCol w:w="54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 sheet</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Dec-23</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Dec-24</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Dec-25</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c>
                <w:tcPr>
                  <w:tcW w:type="dxa" w:w="5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 assets</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Current assets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405.0</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472.1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507.1</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and equivalents</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Non-current assets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5,510.1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7,111.5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7,478.6</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93.6%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Investment property</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assets</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4,796.3</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5,915.1</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7,583.6</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7,985.7</w:t>
                  </w:r>
                </w:p>
              </w:tc>
              <w:tc>
                <w:tcPr>
                  <w:tcW w:type="dxa" w:w="5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Current liabilities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344.5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307.1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203.2</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2.5%</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Non-current liabilities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2,379.5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2,752.0</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2,910.8</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36.5%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Gross financial debt (ST + LT)</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Deferred tax liabilities</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c>
                <w:tcPr>
                  <w:tcW w:type="dxa" w:w="5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equity</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3,191.0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4,524.6</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4,871.7</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Attributable equity</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2,601.1</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3,157.9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4,482.9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4,820.9</w:t>
                  </w:r>
                </w:p>
              </w:tc>
              <w:tc>
                <w:tcPr>
                  <w:tcW w:type="dxa" w:w="5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60.4%</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Cash flow</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cash flow</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Acquisitions (incl. minorities)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Share issuance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borrowing / (repayment)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paid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Dividends paid</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LTM = 2025 − 1H25 + 1H26. 2024 restated in the Dec-25 financials; 2022A from the restated Dec-23 financials. Vertical analysis: % of total assets at Jun-26; the balance sheet is 92% investment property at fair value and deferred taxes (CLP 1,314bn) equal 80% of gross debt. Source: Plaza S.A. financial statements (CMF) Dec-24, Dec-25, Jun-26.</w:t>
            </w:r>
          </w:p>
          <w:p>
            <w:pPr>
              <w:keepNext w:val="false"/>
              <w:spacing w:after="30" w:before="100" w:line="228" w:lineRule="auto"/>
            </w:pPr>
            <w:r>
              <w:rPr>
                <w:rFonts w:ascii="Arial" w:cs="Arial" w:eastAsia="Arial" w:hAnsi="Arial"/>
                <w:b/>
                <w:bCs/>
                <w:color w:val="14284B"/>
                <w:sz w:val="14"/>
                <w:szCs w:val="14"/>
              </w:rPr>
              <w:t xml:space="preserve">Appendix 10D: </w:t>
            </w:r>
            <w:r>
              <w:rPr>
                <w:rFonts w:ascii="Arial" w:cs="Arial" w:eastAsia="Arial" w:hAnsi="Arial"/>
                <w:color w:val="14284B"/>
                <w:sz w:val="14"/>
                <w:szCs w:val="14"/>
              </w:rPr>
              <w:t xml:space="preserve">Sources and uses of cash and change in operating cash flow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750"/>
              <w:gridCol w:w="75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cash flow</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New debt (bonds + loans)</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245.7</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57.9</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received and other</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w:t>
                  </w:r>
                </w:p>
              </w:tc>
            </w:tr>
            <w:tr>
              <w:trPr>
                <w:cantSplit w:val="false"/>
              </w:trPr>
              <w:tc>
                <w:tcPr>
                  <w:tcW w:type="dxa" w:w="37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sources</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704.5</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328.7</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(IP + intangibles + PP&amp;E)</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Debt repayment</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332.2</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52.4</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paid</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Dividends paid</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Minorities and other</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increase (before FX)</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89.0</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72.9</w:t>
                  </w:r>
                </w:p>
              </w:tc>
            </w:tr>
            <w:tr>
              <w:trPr>
                <w:cantSplit w:val="false"/>
              </w:trPr>
              <w:tc>
                <w:tcPr>
                  <w:tcW w:type="dxa" w:w="37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uses</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704.5</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328.7</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 cover: FCF before debt</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2.6x</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1.7x</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Cover after net debt repayment</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1.8x</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1.8x</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Contractual capex commitments (Note 11)</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18.1</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78.0</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Covenant net debt / equity (≤ 2.0x; Note 25)</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0.29x</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0.26x</w:t>
                  </w:r>
                </w:p>
              </w:tc>
            </w:tr>
          </w:tbl>
          <w:tbl>
            <w:tblPr>
              <w:tblW w:type="dxa" w:w="460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Δ operating cash flow</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1H25</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Collections from sales and services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458.3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Payments to suppliers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Payments to employees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Other operating payments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Taxes paid</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Other inflows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Operating cash flow</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186.3</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258.2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+71.9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r>
          </w:tbl>
          <w:p>
            <w:pPr>
              <w:keepNext w:val="false"/>
              <w:spacing w:after="0" w:before="10" w:line="216" w:lineRule="auto"/>
              <w:jc w:val="both"/>
            </w:pPr>
            <w:r>
              <w:rPr>
                <w:rFonts w:ascii="Arial" w:cs="Arial" w:eastAsia="Arial" w:hAnsi="Arial"/>
                <w:color w:val="5F5F5F"/>
                <w:sz w:val="11"/>
                <w:szCs w:val="11"/>
              </w:rPr>
              <w:t xml:space="preserve">The 1H26 rise comes from collections (partly December balances: receivable days from 66 to 50) and lower taxes paid; it is not extrapolated. FCF = operating cash flow − capex − net interest. Source: Dec-25 and Jun-26 financials, direct cash-flow statement; Notes 11 and 25.</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11: </w:t>
            </w:r>
            <w:r>
              <w:rPr>
                <w:rFonts w:ascii="Arial" w:cs="Arial" w:eastAsia="Arial" w:hAnsi="Arial"/>
                <w:color w:val="14284B"/>
                <w:sz w:val="14"/>
                <w:szCs w:val="14"/>
              </w:rPr>
              <w:t xml:space="preserve">Ratio dashboard</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normalized (distributable profit)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at 27%, capital at fair value)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ROIC − real WACC (7.2%), pp</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−0.6</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Current ratio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 current liabilities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liabilities / equity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(net debt / investment property)</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financial costs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operating working capital / revenue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Collection days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Margin bridge (point 2)</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costs (cost of sales + G&amp;A) / revenue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D&amp;A included in those costs / revenue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 1 − EBITDA margin</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23.0%</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19.5%</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20.3%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Monthly revenue / EBITDA per m² (CLP, LTM Jun-26)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24.006 / 19.241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r>
          </w:tbl>
          <w:p>
            <w:pPr>
              <w:keepNext w:val="false"/>
              <w:spacing w:after="0" w:before="10" w:line="216" w:lineRule="auto"/>
              <w:jc w:val="both"/>
            </w:pPr>
            <w:r>
              <w:rPr>
                <w:rFonts w:ascii="Arial" w:cs="Arial" w:eastAsia="Arial" w:hAnsi="Arial"/>
                <w:color w:val="5F5F5F"/>
                <w:sz w:val="11"/>
                <w:szCs w:val="11"/>
              </w:rPr>
              <w:t xml:space="preserve">ROIC is a cash return on capital at fair value (excluding property revaluation): it is compared with the real WACC, not the nominal one. Operating costs include D&amp;A; without it they are exactly 1 − EBITDA margin. Jun-26 leverage on LTM EBITDA; Dec-24 collection days n.m. (Peru consolidates one month). Source: Financial statements (CMF); MD&amp;A 1H26; 2Q26 Release (p. 8; m²); Team analysis.</w:t>
            </w:r>
          </w:p>
          <w:p>
            <w:pPr>
              <w:keepNext w:val="false"/>
              <w:spacing w:after="30" w:before="100" w:line="228" w:lineRule="auto"/>
            </w:pPr>
            <w:r>
              <w:rPr>
                <w:rFonts w:ascii="Arial" w:cs="Arial" w:eastAsia="Arial" w:hAnsi="Arial"/>
                <w:b/>
                <w:bCs/>
                <w:color w:val="14284B"/>
                <w:sz w:val="14"/>
                <w:szCs w:val="14"/>
              </w:rPr>
              <w:t xml:space="preserve">Appendix 11B: </w:t>
            </w:r>
            <w:r>
              <w:rPr>
                <w:rFonts w:ascii="Arial" w:cs="Arial" w:eastAsia="Arial" w:hAnsi="Arial"/>
                <w:color w:val="14284B"/>
                <w:sz w:val="14"/>
                <w:szCs w:val="14"/>
              </w:rPr>
              <w:t xml:space="preserve">Net debt/EBITDA bridge Dec-24 → Jun-26 (CLP bn)</w:t>
            </w:r>
          </w:p>
          <w:tbl>
            <w:tblPr>
              <w:tblW w:type="dxa" w:w="5125"/>
              <w:tblBorders>
                <w:top w:val="none" w:color="FFFFFF" w:sz="0"/>
                <w:left w:val="none" w:color="FFFFFF" w:sz="0"/>
                <w:bottom w:val="none" w:color="FFFFFF" w:sz="0"/>
                <w:right w:val="none" w:color="FFFFFF" w:sz="0"/>
                <w:insideH w:val="none" w:color="FFFFFF" w:sz="0"/>
                <w:insideV w:val="none" w:color="FFFFFF" w:sz="0"/>
              </w:tblBorders>
            </w:tblPr>
            <w:tblGrid>
              <w:gridCol w:w="2325"/>
              <w:gridCol w:w="700"/>
              <w:gridCol w:w="7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DFN</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EBITDA</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x</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Dec-24 reported (Peru consolidates one month)</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380.6</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3.78x</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Perimeter: Peru 12 months instead of 1 (LTM Jun-26: 104.3 − 9.5)</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475.5</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3.03x</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−0.75x</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growth of the rest (to Jun-26)</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544.9</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2.64x</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−0.39x</w:t>
                  </w:r>
                </w:p>
              </w:tc>
            </w:tr>
            <w:tr>
              <w:trPr>
                <w:cantSplit w:val="false"/>
              </w:trPr>
              <w:tc>
                <w:tcPr>
                  <w:tcW w:type="dxa" w:w="23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Lower net debt = Jun-26 reported</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1,285.7</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2.36x</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−0.28x</w:t>
                  </w:r>
                </w:p>
              </w:tc>
            </w:tr>
          </w:tbl>
          <w:p>
            <w:pPr>
              <w:keepNext w:val="false"/>
              <w:spacing w:after="0" w:before="10" w:line="216" w:lineRule="auto"/>
              <w:jc w:val="both"/>
            </w:pPr>
            <w:r>
              <w:rPr>
                <w:rFonts w:ascii="Arial" w:cs="Arial" w:eastAsia="Arial" w:hAnsi="Arial"/>
                <w:color w:val="5F5F5F"/>
                <w:sz w:val="11"/>
                <w:szCs w:val="11"/>
              </w:rPr>
              <w:t xml:space="preserve">Peru = revenue − cost of sales − segment G&amp;A (Dec-24 Note 31; Dec-25 Note 25; Jun-26 Note 24). Using LTM Jun-26 as a proxy for the full year makes 3.03x a lower bound of the 2024 pro forma.</w:t>
            </w:r>
          </w:p>
          <w:p>
            <w:pPr>
              <w:keepNext w:val="false"/>
              <w:spacing w:after="30" w:before="100" w:line="228" w:lineRule="auto"/>
            </w:pPr>
            <w:r>
              <w:rPr>
                <w:rFonts w:ascii="Arial" w:cs="Arial" w:eastAsia="Arial" w:hAnsi="Arial"/>
                <w:b/>
                <w:bCs/>
                <w:color w:val="14284B"/>
                <w:sz w:val="14"/>
                <w:szCs w:val="14"/>
              </w:rPr>
              <w:t xml:space="preserve">Appendix 11C: </w:t>
            </w:r>
            <w:r>
              <w:rPr>
                <w:rFonts w:ascii="Arial" w:cs="Arial" w:eastAsia="Arial" w:hAnsi="Arial"/>
                <w:color w:val="14284B"/>
                <w:sz w:val="14"/>
                <w:szCs w:val="14"/>
              </w:rPr>
              <w:t xml:space="preserve">Figures in the text: calculation and source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125"/>
              <w:gridCol w:w="650"/>
              <w:gridCol w:w="1450"/>
            </w:tblGrid>
            <w:tr>
              <w:trPr>
                <w:tblHeader/>
              </w:trPr>
              <w:tc>
                <w:tcPr>
                  <w:tcW w:type="dxa" w:w="3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Figure</w:t>
                  </w:r>
                </w:p>
              </w:tc>
              <w:tc>
                <w:tcPr>
                  <w:tcW w:type="dxa" w:w="6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Value</w:t>
                  </w:r>
                </w:p>
              </w:tc>
              <w:tc>
                <w:tcPr>
                  <w:tcW w:type="dxa" w:w="1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Source</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Rise in Chile investment property from fair value (1,141.2 / Chile IP Dec-24 3,933.0)</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29.0%</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Dec-25 financials, Note 25</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Rate effect: (6.62% − 0.5%) / (5.64% − 0.5%) − 1, perpetuity</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Note 11: Dec-24 / Dec-25 midpoints</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Rate share of the rise (“two-thirds”)</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Calculation</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2025 growth from perimeter: (121.3 − 13.6) / 494.6</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 pp</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Dec-25 financials, Note 25</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2025 growth ex-Peru: 532.6 / 481.0 − 1</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10.7%</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Dec-25 financials, Note 25</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2026E revenue (704.0) vs BEst consensus (701.7; 13 analysts)</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Bloomberg EE/ANR, 17-Oct-26</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2026E EBITDA (561.3) vs BEst consensus (569.1)</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Bloomberg EE, 17-Oct-26</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2025 ROE with the same method as peers</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10.0%</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Appendix 14</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12: </w:t>
            </w:r>
            <w:r>
              <w:rPr>
                <w:rFonts w:ascii="Arial" w:cs="Arial" w:eastAsia="Arial" w:hAnsi="Arial"/>
                <w:color w:val="14284B"/>
                <w:sz w:val="14"/>
                <w:szCs w:val="14"/>
              </w:rPr>
              <w:t xml:space="preserve">The EBITDA we use is the company's: revaluation is removed once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profit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income (mainly fair value)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expenses (non-recurring)</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Adjusted EBITDA</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Check vs company EBITDA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Bloomberg's EBITDA field includes revaluation and is not used. Source: Financial statements (CMF), Notes 23.1–23.3; 2Q26 release; Team analysis.</w:t>
            </w:r>
          </w:p>
          <w:p>
            <w:pPr>
              <w:keepNext w:val="false"/>
              <w:spacing w:after="30" w:before="100" w:line="228" w:lineRule="auto"/>
            </w:pPr>
            <w:r>
              <w:rPr>
                <w:rFonts w:ascii="Arial" w:cs="Arial" w:eastAsia="Arial" w:hAnsi="Arial"/>
                <w:b/>
                <w:bCs/>
                <w:color w:val="14284B"/>
                <w:sz w:val="14"/>
                <w:szCs w:val="14"/>
              </w:rPr>
              <w:t xml:space="preserve">Appendix 13: </w:t>
            </w:r>
            <w:r>
              <w:rPr>
                <w:rFonts w:ascii="Arial" w:cs="Arial" w:eastAsia="Arial" w:hAnsi="Arial"/>
                <w:color w:val="14284B"/>
                <w:sz w:val="14"/>
                <w:szCs w:val="14"/>
              </w:rPr>
              <w:t xml:space="preserve">Base-case projection (CLP bn)</w:t>
            </w:r>
          </w:p>
          <w:tbl>
            <w:tblPr>
              <w:tblW w:type="dxa" w:w="5205"/>
              <w:tblBorders>
                <w:top w:val="none" w:color="FFFFFF" w:sz="0"/>
                <w:left w:val="none" w:color="FFFFFF" w:sz="0"/>
                <w:bottom w:val="none" w:color="FFFFFF" w:sz="0"/>
                <w:right w:val="none" w:color="FFFFFF" w:sz="0"/>
                <w:insideH w:val="none" w:color="FFFFFF" w:sz="0"/>
                <w:insideV w:val="none" w:color="FFFFFF" w:sz="0"/>
              </w:tblBorders>
            </w:tblPr>
            <w:tblGrid>
              <w:gridCol w:w="1815"/>
              <w:gridCol w:w="565"/>
              <w:gridCol w:w="565"/>
              <w:gridCol w:w="565"/>
              <w:gridCol w:w="565"/>
              <w:gridCol w:w="565"/>
              <w:gridCol w:w="565"/>
            </w:tblGrid>
            <w:tr>
              <w:trPr>
                <w:tblHeader/>
              </w:trPr>
              <w:tc>
                <w:tcPr>
                  <w:tcW w:type="dxa" w:w="18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Chile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619.6</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647.9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672.6</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Peru</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Colombia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Eliminations</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continuous expansion</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23.0</w:t>
                  </w:r>
                </w:p>
              </w:tc>
            </w:tr>
            <w:tr>
              <w:trPr>
                <w:cantSplit w:val="false"/>
              </w:trPr>
              <w:tc>
                <w:tcPr>
                  <w:tcW w:type="dxa" w:w="18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Revenue</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826.7</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886.8</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935.6</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982.3</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Growth</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8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659.2</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707.4</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746.3</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783.6</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555.8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701.1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776.7</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tax rate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1H26 actual (no breakdown)</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maintenance + IT</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(45.5)</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(52.8)</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Incremental capex — pipeline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(130.5)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(247.9)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(155.4)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Incremental capex — continuous expansion</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(46.3)</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(95.3)</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(98.2)</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(101.1)</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(104.2)</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capex</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(234.1)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(296.2)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(146.8)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(156.9)</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working capital</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460.4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491.3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492.9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512.6</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446.4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454.4</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Ordinary dividends (40%)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(175.3)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(176.5)</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Additional distributions</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(412.6)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(393.9)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(416.5)</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1H26 actual + 2H26E: D&amp;A 3.0 + 2.6; 1H26 capex (84.2) has no breakdown by type in the release; Δ working capital and additional distributions cover 2H26E only. FFO = (EBITDA − net financial cost) × (1 − cash tax), before minorities (~1%); distributable profit = FFO − UF indexation. Source: model v4 (Forecast_Base, DCF, Deuda and Expansion sheets).</w:t>
            </w:r>
          </w:p>
          <w:p>
            <w:pPr>
              <w:keepNext w:val="false"/>
              <w:spacing w:after="30" w:before="100" w:line="228" w:lineRule="auto"/>
            </w:pPr>
            <w:r>
              <w:rPr>
                <w:rFonts w:ascii="Arial" w:cs="Arial" w:eastAsia="Arial" w:hAnsi="Arial"/>
                <w:b/>
                <w:bCs/>
                <w:color w:val="14284B"/>
                <w:sz w:val="14"/>
                <w:szCs w:val="14"/>
              </w:rPr>
              <w:t xml:space="preserve">Appendix 14: </w:t>
            </w:r>
            <w:r>
              <w:rPr>
                <w:rFonts w:ascii="Arial" w:cs="Arial" w:eastAsia="Arial" w:hAnsi="Arial"/>
                <w:color w:val="14284B"/>
                <w:sz w:val="14"/>
                <w:szCs w:val="14"/>
              </w:rPr>
              <w:t xml:space="preserve">With the same adjustment, Mallplaza has the highest normalized ROE among its local peers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325"/>
              <w:gridCol w:w="933"/>
              <w:gridCol w:w="933"/>
              <w:gridCol w:w="1034"/>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9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9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Revaluation / opening property</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investment property (consolidated)</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3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 — same method for all three</w:t>
                  </w:r>
                </w:p>
              </w:tc>
              <w:tc>
                <w:tcPr>
                  <w:tcW w:type="dxa" w:w="9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c>
                <w:tcPr>
                  <w:tcW w:type="dxa" w:w="9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normalized — Mallplaza on distributable profit</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9.7%</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(net debt / IP)</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with JV/associate investments in the denominator</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40.6%</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attributable equity, closing (x)</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Normalized = attributable profit − revaluation × (1 − 27%) × % attributable to the parent; revaluation = operating profit − (EBITDA − D&amp;A) at Mallplaza and Parque Arauco, and −net other operating income at Cencosud Shopping. Limits: uniform 27% (Peru 29.5%, Colombia 35%); Cencosud EBITDA = revenue × Bloomberg adjusted margin; all three operate in Chile, Peru and Colombia, with different weights. Parque Arauco's investment in associates: CLP 209.2bn (Dec-25). Source: Financial statements (CMF); Bloomberg FA (PARAUCO CI, CENCOMAL CI; 28-Sep-26); Team analysis.</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APPENDIX 15: DISCOUNTED CASH FLOW</w:t>
      </w:r>
    </w:p>
    <w:p>
      <w:pPr>
        <w:keepNext w:val="false"/>
        <w:shd w:fill="EEF1F6" w:color="auto" w:val="clear"/>
        <w:spacing w:after="40" w:line="216" w:lineRule="auto"/>
        <w:jc w:val="both"/>
      </w:pPr>
      <w:r>
        <w:rPr>
          <w:rFonts w:ascii="Arial" w:cs="Arial" w:eastAsia="Arial" w:hAnsi="Arial"/>
          <w:color w:val="1A1A1A"/>
          <w:sz w:val="14"/>
          <w:szCs w:val="14"/>
        </w:rPr>
        <w:t xml:space="preserve">FCFF in nominal CLP from 30-Jun-26, mid-period convention and each period's WACC (Appendix 19). Capex is split into maintenance and IT (5.5% of revenue) and incremental capex (pipeline under way and continuous expansion). Terminal value uses 2032E FCFF with nominal g of 3.0% (0% real: terminal incremental capex is zero because RONIC is below the real WACC) and a terminal WACC of 10.41%, and includes 108,301 m² of GLA maturing after 2031. It explains 78% of EV. Sections D and E break down each line and prove it ties to the DCF.</w:t>
      </w:r>
    </w:p>
    <w:p>
      <w:pPr>
        <w:keepNext w:val="false"/>
        <w:pBdr>
          <w:bottom w:val="single" w:color="E9004B" w:sz="8" w:space="1"/>
        </w:pBdr>
        <w:spacing w:after="50" w:before="80"/>
      </w:pPr>
      <w:r>
        <w:rPr>
          <w:rFonts w:ascii="Arial" w:cs="Arial" w:eastAsia="Arial" w:hAnsi="Arial"/>
          <w:b/>
          <w:bCs/>
          <w:color w:val="14284B"/>
          <w:sz w:val="16"/>
          <w:szCs w:val="16"/>
        </w:rPr>
        <w:t xml:space="preserve">A. FIRM FREE CASH FLOW BY PERIOD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886,792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935,616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982,334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1,030,197</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707,354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746,336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783,607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821,950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512,875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532,847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540,019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566,987</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594,732</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(45,466)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(48,592)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(52,766)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(56,661)</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pipeline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(247,924)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continuous expansion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Working capital investment</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(7,619)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(4,682)</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88,514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149,981</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213,233</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382,940</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387,084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409,693</w:t>
            </w:r>
          </w:p>
        </w:tc>
        <w:tc>
          <w:tcPr>
            <w:tcW w:type="dxa" w:w="10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540,638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of the period</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Discount factor (mid-period)</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FCFF / terminal value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86,325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135,701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174,604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283,847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259,780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248,997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4,217,777</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FROM ENTERPRISE VALUE TO VALUE PER 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Item</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explicit FCFF (2H26E–2031E)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1,189,255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terminal value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4,217,777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1,926</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Enterprise value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5,407,032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2,469</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Net financial debt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Minorities (book)</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Equity value / per share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4,070,451</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DCF VALUE SENSITIVITY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2,288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2,176</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2,106</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2,058</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bp</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1,912</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1,796</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1,722</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1,741</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1,685</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1,620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1,544</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1,590</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1,533</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1,467</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1,391</w:t>
                  </w:r>
                </w:p>
              </w:tc>
            </w:tr>
          </w:tbl>
          <w:p/>
        </w:tc>
      </w:tr>
    </w:tbl>
    <w:p>
      <w:pPr>
        <w:keepNext w:val="false"/>
        <w:spacing w:after="0" w:before="10" w:line="216" w:lineRule="auto"/>
      </w:pPr>
      <w:r>
        <w:rPr>
          <w:rFonts w:ascii="Arial" w:cs="Arial" w:eastAsia="Arial" w:hAnsi="Arial"/>
          <w:color w:val="5F5F5F"/>
          <w:sz w:val="11"/>
          <w:szCs w:val="11"/>
        </w:rPr>
        <w:t xml:space="preserve">Terminal value at 31-Dec-31: CLP 7,292,232 MM (implied terminal cap rate 11.3%; implied LTM EV/EBITDA of EV 9.9x). Bloomberg net debt (CLP 1,311,569 MM, used in multiples) differs from net financial debt by IFRS 16 lease liabilities (CLP 25,828 MM at Jun-26). Source: model v4, DCF and Sensibilidad sheets; 2,190 MM shares.</w:t>
      </w:r>
    </w:p>
    <w:p>
      <w:pPr>
        <w:keepNext w:val="false"/>
        <w:pBdr>
          <w:bottom w:val="single" w:color="E9004B" w:sz="8" w:space="1"/>
        </w:pBdr>
        <w:spacing w:after="50" w:before="100"/>
      </w:pPr>
      <w:r>
        <w:rPr>
          <w:rFonts w:ascii="Arial" w:cs="Arial" w:eastAsia="Arial" w:hAnsi="Arial"/>
          <w:b/>
          <w:bCs/>
          <w:color w:val="14284B"/>
          <w:sz w:val="16"/>
          <w:szCs w:val="16"/>
        </w:rPr>
        <w:t xml:space="preserve">D. BREAKDOWN OF THE DCF LINES (CLP MM UNLESS STATED)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Revenue: base + expansion (D1)</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revenue (operating engine)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923,322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959,374</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Continuous expansion (cohorts from 2029)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3,309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12,294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22,960</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Peru / Colombia, calendar year (CLP bn)</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498.4 / 131.3 / 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533.9 / 145.2 / 88.1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577.4 / 159.8 / 89.4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619.6 / 171.6 / 92.2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647.9 / 178.6 / 96.8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672.6 / 184.9 / 101.8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Bridge to terminal: + maturation of 108,301 m²; × (1 + 3.0%)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40,818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30,006</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EBITDA and D&amp;A (D2–D3)</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EBITDA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704,685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736,420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765,088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Expansion EBITDA (margin 80.7%)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9,916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18,519</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Chile / Peru / Colombia, calendar year (80/82/74%)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398.7 / 107.7 / 55.7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427.1 / 119.0 / 65.2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461.9 / 131.1 / 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495.7 / 140.7 / 68.2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518.3 / 146.5 / 71.7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538.1 / 151.6 / 75.4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0.704% × total revenue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Tax, capex and working capital (D4–D6)</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288,177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605,962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653,344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701,114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739,752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776,695</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814,701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Tax = EBIT × rate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−48,414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−115,133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−168,267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−199,733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−209,708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−219,969</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(a): pipeline, USD MM × USDCLP</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 × 930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268.7 × 923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169.9 × 915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opening in the year (m²; pipeline and expansion)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8,900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capex / revenue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43.8%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 revenue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Δ revenue for working capital (× 15.6%)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63,180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60,130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48,824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46,718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30,006</w:t>
            </w:r>
          </w:p>
        </w:tc>
      </w:tr>
    </w:tbl>
    <w:p>
      <w:pPr>
        <w:keepNext w:val="false"/>
        <w:spacing w:after="0" w:before="10" w:line="216" w:lineRule="auto"/>
      </w:pPr>
      <w:r>
        <w:rPr>
          <w:rFonts w:ascii="Arial" w:cs="Arial" w:eastAsia="Arial" w:hAnsi="Arial"/>
          <w:color w:val="5F5F5F"/>
          <w:sz w:val="11"/>
          <w:szCs w:val="11"/>
        </w:rPr>
        <w:t xml:space="preserve">Country revenue from Appendix 13 (calendar year; 0.1 bn precision). 1H26 capex has no breakdown by type: the release only gives the LTM breakdown (USD 132.5m: maintenance 40.0; IT and other 10.2; brownfield 52.5; reconversion 29.1; greenfield 0.7). Yield on cost 7.3%; real RONIC 5.3% vs real WACC 7.2%.</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E. TIE-OUT CHECK (CLP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925"/>
              <w:gridCol w:w="1300"/>
            </w:tblGrid>
            <w:tr>
              <w:trPr>
                <w:tblHeader/>
              </w:trPr>
              <w:tc>
                <w:tcPr>
                  <w:tcW w:type="dxa" w:w="3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Line: breakdown − DCF</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Max. |diff.| 2H26E–Terminal</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EBITDA</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Operating tax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capex (maintenance + incremental)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Working capital investment</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FCFF</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FCFF</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Terminal value / PV of TV / EV</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Value per share (CLP)</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READING</w:t>
            </w:r>
          </w:p>
          <w:p>
            <w:pPr>
              <w:keepNext w:val="false"/>
              <w:shd w:fill="EEF1F6" w:color="auto" w:val="clear"/>
              <w:spacing w:after="40" w:line="216" w:lineRule="auto"/>
              <w:jc w:val="both"/>
            </w:pPr>
            <w:r>
              <w:rPr>
                <w:rFonts w:ascii="Arial" w:cs="Arial" w:eastAsia="Arial" w:hAnsi="Arial"/>
                <w:color w:val="1A1A1A"/>
                <w:sz w:val="14"/>
                <w:szCs w:val="14"/>
              </w:rPr>
              <w:t xml:space="preserve">Maximum absolute difference across all lines and periods: 0. The breakdown only reorders the DCF: EV CLP 5,407,032 MM, DCF value CLP 1,859 and target price CLP 2,077. Incremental capex (pipeline + expansion) weighs 38%–36% of revenue in 2H26E–2027E and ~11% from 2029E; maintenance, 5.5%. The terminal only funds maintenance: growing at a real RONIC of 5.3% under a real WACC of 7.2% would subtract value (Figure 23).</w:t>
            </w:r>
          </w:p>
          <w:p>
            <w:pPr>
              <w:keepNext w:val="false"/>
              <w:shd w:fill="EEF1F6" w:color="auto" w:val="clear"/>
              <w:spacing w:after="40" w:line="216" w:lineRule="auto"/>
              <w:jc w:val="both"/>
            </w:pPr>
            <w:r>
              <w:rPr>
                <w:rFonts w:ascii="Arial" w:cs="Arial" w:eastAsia="Arial" w:hAnsi="Arial"/>
                <w:color w:val="1A1A1A"/>
                <w:sz w:val="14"/>
                <w:szCs w:val="14"/>
              </w:rPr>
              <w:t xml:space="preserve">Terminal value starts from 2031E revenue (982,334), adds the maturation of the expansion already funded (+40,818) and indexes for inflation (+30,006) to 1,030,197; 2032E FCFF = NOPAT 594,732 + D&amp;A 7,249 − maintenance 56,661 − working capital 4,682 = 540,638.</w:t>
            </w:r>
          </w:p>
        </w:tc>
      </w:tr>
    </w:tbl>
    <w:p>
      <w:pPr>
        <w:keepNext w:val="false"/>
        <w:pBdr>
          <w:bottom w:val="single" w:color="14284B" w:sz="18" w:space="2"/>
        </w:pBdr>
        <w:spacing w:after="80" w:before="200"/>
      </w:pPr>
      <w:r>
        <w:rPr>
          <w:rFonts w:ascii="Arial" w:cs="Arial" w:eastAsia="Arial" w:hAnsi="Arial"/>
          <w:b/>
          <w:bCs/>
          <w:color w:val="14284B"/>
          <w:sz w:val="30"/>
          <w:szCs w:val="30"/>
        </w:rPr>
        <w:t xml:space="preserve">APPENDIX 16: PROJECTION ASSUMPTIONS</w:t>
      </w:r>
    </w:p>
    <w:p>
      <w:pPr>
        <w:keepNext w:val="false"/>
        <w:shd w:fill="EEF1F6" w:color="auto" w:val="clear"/>
        <w:spacing w:after="40" w:line="216" w:lineRule="auto"/>
        <w:jc w:val="both"/>
      </w:pPr>
      <w:r>
        <w:rPr>
          <w:rFonts w:ascii="Arial" w:cs="Arial" w:eastAsia="Arial" w:hAnsi="Arial"/>
          <w:color w:val="1A1A1A"/>
          <w:sz w:val="14"/>
          <w:szCs w:val="14"/>
        </w:rPr>
        <w:t xml:space="preserve">The base forecast follows the team's operating engine with the full dated pipeline (170,200 m², announced pipeline through 2028, including 46,500 m² of other projects in Chile); from 2029 a continuous expansion at the historical opening pace is added. 2026E revenue is calendar-year; the 2H26E period nets out the 1H26 actual (CLP 339,530 MM of revenue).</w:t>
      </w:r>
    </w:p>
    <w:p>
      <w:pPr>
        <w:keepNext w:val="false"/>
        <w:pBdr>
          <w:bottom w:val="single" w:color="E9004B" w:sz="8" w:space="1"/>
        </w:pBdr>
        <w:spacing w:after="50" w:before="80"/>
      </w:pPr>
      <w:r>
        <w:rPr>
          <w:rFonts w:ascii="Arial" w:cs="Arial" w:eastAsia="Arial" w:hAnsi="Arial"/>
          <w:b/>
          <w:bCs/>
          <w:color w:val="14284B"/>
          <w:sz w:val="16"/>
          <w:szCs w:val="16"/>
        </w:rPr>
        <w:t xml:space="preserve">A. REVENUE, CAPEX AND WORKING CAPITAL PROJECTION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revenue (calendar year)</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883,482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923,322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959,374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 growth</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 expansion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3,309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12,294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22,960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EBITDA margin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 (5.5% of revenue)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45,466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48,592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50,783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52,766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projects under way (USD MM)</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268.7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Average USDCLP</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projects under way</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247,924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155,398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continuous expansion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incremental capex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201,656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60,085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Total capex</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149,906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336,388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296,177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146,764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151,900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156,916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opening in the year (m²)</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8,900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cost per m² (CLP MM, CPI)</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Working capital investment</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7,619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CONTINUOUS EXPANSION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per year from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organic average 2022, 2023 and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under way (2Q26 Release; 2025 Annual Report)</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 per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disbursement (from 2027E)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in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Revenue ramp (year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Peru mix;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67.2% / 32.8%;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real after-tax RONIC</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 / 5.3%</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OPERATIONS, CAPITAL AND TERMINAL VALUE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2Q26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of revenue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Terminal incremental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 (real g 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revenue (LTM 2Q26)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0.704%</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working capital / revenue (Dec-25)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Receivables / prepaid rents (Dec-25, CLP MM)</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Terminal nominal g (real)</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Target net debt/EBITDA; real Kd per turn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in 2031; +25 bp</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on distributable profit</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pBdr>
          <w:bottom w:val="single" w:color="E9004B" w:sz="8" w:space="1"/>
        </w:pBdr>
        <w:spacing w:after="50" w:before="100"/>
      </w:pPr>
      <w:r>
        <w:rPr>
          <w:rFonts w:ascii="Arial" w:cs="Arial" w:eastAsia="Arial" w:hAnsi="Arial"/>
          <w:b/>
          <w:bCs/>
          <w:color w:val="14284B"/>
          <w:sz w:val="16"/>
          <w:szCs w:val="16"/>
        </w:rPr>
        <w:t xml:space="preserve">D. DEBT SCHEDULE (CLP MM; DEUDA SHEET)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Opening net debt</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2,457,403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FCFF</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88,514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149,981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213,233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382,940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387,084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409,693</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Net financial cost, after tax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34,783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40,471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46,273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51,959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59,437</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UF indexation, after tax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12,676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30,374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34,168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37,757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42,516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Ordinary dividends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60,108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152,016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171,061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175,311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178,543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176,458</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Additional distribution (buyback / special dividend)</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96,106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186,689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235,670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393,865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416,502</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Closing net debt</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2,457,403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2,742,623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Closing net debt / EBITDA (x)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Closing gross debt (constant cash 347,621)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1,730,211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1,980,259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2,244,602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2,529,984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2,805,024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3,090,244</w:t>
            </w:r>
          </w:p>
        </w:tc>
      </w:tr>
    </w:tbl>
    <w:p>
      <w:pPr>
        <w:keepNext w:val="false"/>
        <w:spacing w:after="0" w:before="10" w:line="216" w:lineRule="auto"/>
      </w:pPr>
      <w:r>
        <w:rPr>
          <w:rFonts w:ascii="Arial" w:cs="Arial" w:eastAsia="Arial" w:hAnsi="Arial"/>
          <w:color w:val="5F5F5F"/>
          <w:sz w:val="11"/>
          <w:szCs w:val="11"/>
        </w:rPr>
        <w:t xml:space="preserve">Net debt(t) = net debt(t−1) − FCFF + financial cost and UF indexation after tax + ordinary dividends + additional distribution, which takes net debt to the target path (2.36x → 3.5x). Financial cost: 3.08% of net debt + 25 bp per turn above 2.36x; UF indexation on 79% of debt at 3.0%. Bond maturities: Figure 18. Source: model v4 (2Q26 Release; Dec-25 financials; Exhibits v7).</w:t>
      </w:r>
    </w:p>
    <w:p>
      <w:pPr>
        <w:keepNext w:val="false"/>
        <w:pBdr>
          <w:bottom w:val="single" w:color="14284B" w:sz="18" w:space="2"/>
        </w:pBdr>
        <w:spacing w:after="80" w:before="0"/>
      </w:pPr>
      <w:r>
        <w:rPr>
          <w:rFonts w:ascii="Arial" w:cs="Arial" w:eastAsia="Arial" w:hAnsi="Arial"/>
          <w:b/>
          <w:bCs/>
          <w:color w:val="14284B"/>
          <w:sz w:val="30"/>
          <w:szCs w:val="30"/>
        </w:rPr>
        <w:t xml:space="preserve">APPENDIX 17: COMPARABLE MULTIPLES</w:t>
      </w:r>
    </w:p>
    <w:p>
      <w:pPr>
        <w:keepNext w:val="false"/>
        <w:shd w:fill="EEF1F6" w:color="auto" w:val="clear"/>
        <w:spacing w:after="40" w:line="216" w:lineRule="auto"/>
        <w:jc w:val="both"/>
      </w:pPr>
      <w:r>
        <w:rPr>
          <w:rFonts w:ascii="Arial" w:cs="Arial" w:eastAsia="Arial" w:hAnsi="Arial"/>
          <w:color w:val="1A1A1A"/>
          <w:sz w:val="14"/>
          <w:szCs w:val="14"/>
        </w:rPr>
        <w:t xml:space="preserve">We use the same peer set as the WACC beta. LTM EV/EBITDA is the main method (neutral to leverage and to IAS 40 revaluation); the multiple weights the Chilean median 70% and the common-set median 30%. P/E and P/BV mix fair-value and cost-based peers: reference only. Price at 30-Sep-26; Bloomberg net debt and FX at 30-Jun-26.</w:t>
      </w:r>
    </w:p>
    <w:p>
      <w:pPr>
        <w:keepNext w:val="false"/>
        <w:pBdr>
          <w:bottom w:val="single" w:color="E9004B" w:sz="8" w:space="1"/>
        </w:pBdr>
        <w:spacing w:after="50" w:before="80"/>
      </w:pPr>
      <w:r>
        <w:rPr>
          <w:rFonts w:ascii="Arial" w:cs="Arial" w:eastAsia="Arial" w:hAnsi="Arial"/>
          <w:b/>
          <w:bCs/>
          <w:color w:val="14284B"/>
          <w:sz w:val="16"/>
          <w:szCs w:val="16"/>
        </w:rPr>
        <w:t xml:space="preserve">A. PEERS (CLP MM; MULTIPLES IN TIMES)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EV/EBITDA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NTM EV/EBITDA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EV/EBIT</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P/E</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(excluded)</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Common-set median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median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VALUE BY MULTIPLE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Multiple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Weighted</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Metric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LTM EV/EBITDA (main)</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NTM EV/EBITDA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EV/EBIT</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P/E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SENSITIVITY TO THE WEIGHTING</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Chile weight</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Multiple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 value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2,077</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Bridge: 14.36x × LTM EBITDA CLP 544,935 MM = EV 7,825,944 − Bloomberg net debt 1,311,569 − minorities 50,841 = CLP 2,951 per share (2,190 MM shares). Fibra Danhos is excluded because of its FIBRA regime and because it has no beta in the WACC; IRSA reports under IAS 29. Source: Bloomberg; model v4, Comparables and Precio_Objetivo sheets; Figuras_Valuacion, V7.</w:t>
      </w:r>
    </w:p>
    <w:p>
      <w:pPr>
        <w:keepNext w:val="false"/>
        <w:pBdr>
          <w:bottom w:val="single" w:color="14284B" w:sz="18" w:space="2"/>
        </w:pBdr>
        <w:spacing w:after="80" w:before="200"/>
      </w:pPr>
      <w:r>
        <w:rPr>
          <w:rFonts w:ascii="Arial" w:cs="Arial" w:eastAsia="Arial" w:hAnsi="Arial"/>
          <w:b/>
          <w:bCs/>
          <w:color w:val="14284B"/>
          <w:sz w:val="30"/>
          <w:szCs w:val="30"/>
        </w:rPr>
        <w:t xml:space="preserve">APPENDIX 18: SCENARIOS AND ROBUSTNESS</w:t>
      </w:r>
    </w:p>
    <w:p>
      <w:pPr>
        <w:keepNext w:val="false"/>
        <w:shd w:fill="EEF1F6" w:color="auto" w:val="clear"/>
        <w:spacing w:after="40" w:line="216" w:lineRule="auto"/>
        <w:jc w:val="both"/>
      </w:pPr>
      <w:r>
        <w:rPr>
          <w:rFonts w:ascii="Arial" w:cs="Arial" w:eastAsia="Arial" w:hAnsi="Arial"/>
          <w:color w:val="1A1A1A"/>
          <w:sz w:val="14"/>
          <w:szCs w:val="14"/>
        </w:rPr>
        <w:t xml:space="preserve">No scenario or alternative method reaches the CLP 3,555 price. Scenarios are computed with the DCF replica (it reproduces the base value exactly) and the target price keeps the 80% DCF weight and the multiples value of CLP 2,951. Bear is everything going wrong at once; bull, everything going right; both use the same levers as the Risks tornado. Probability weighting is a cross-check: the target price remains the base-case one.</w:t>
      </w:r>
    </w:p>
    <w:p>
      <w:pPr>
        <w:keepNext w:val="false"/>
        <w:pBdr>
          <w:bottom w:val="single" w:color="E9004B" w:sz="8" w:space="1"/>
        </w:pBdr>
        <w:spacing w:after="50" w:before="80"/>
      </w:pPr>
      <w:r>
        <w:rPr>
          <w:rFonts w:ascii="Arial" w:cs="Arial" w:eastAsia="Arial" w:hAnsi="Arial"/>
          <w:b/>
          <w:bCs/>
          <w:color w:val="14284B"/>
          <w:sz w:val="16"/>
          <w:szCs w:val="16"/>
        </w:rPr>
        <w:t xml:space="preserve">A. 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100"/>
        <w:gridCol w:w="5666"/>
        <w:gridCol w:w="600"/>
        <w:gridCol w:w="1100"/>
        <w:gridCol w:w="1200"/>
        <w:gridCol w:w="1000"/>
      </w:tblGrid>
      <w:tr>
        <w:trPr>
          <w:tblHeader/>
        </w:trPr>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Scenario</w:t>
            </w:r>
          </w:p>
        </w:tc>
        <w:tc>
          <w:tcPr>
            <w:tcW w:type="dxa" w:w="56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Assumptions (all at once)</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Prob.</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Everything goes wrong: nominal WACC +100 bp in all periods; EBITDA margin 75.8%, occupancy 95.1%, same-store rent 2027–28 3.7%, tenant sales 3.7%, 2029–31 real growth at the Note 11 floor, visitors 5.6%, maintenance capex 6.6%</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1,542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w:t>
            </w:r>
          </w:p>
        </w:tc>
      </w:tr>
      <w:tr>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Central: model v4; nominal WACC 10.54% → 10.41%; g 3.0%; margin 79.7%</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99.4%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Everything goes right: nominal WACC −100 bp; margin 81.3%, occupancy 96.6%, same-store rent 9.4%, tenant sales 9.9%, real growth at the Note 11 ceiling, visitors 17.3%, maintenance capex 4.8%; cash tax capped at 23%</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w:t>
            </w:r>
          </w:p>
        </w:tc>
      </w:tr>
      <w:tr>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Weighted</w:t>
            </w:r>
          </w:p>
        </w:tc>
        <w:tc>
          <w:tcPr>
            <w:tcW w:type="dxa" w:w="56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0.5% / 99.4% / 0.1% (risk matrix; joint probability)</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1,856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2,075</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−41.6%</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Appraisers</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8.72% (5.55% real, Note 11) in all periods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2,734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w:t>
            </w:r>
          </w:p>
        </w:tc>
      </w:tr>
    </w:tbl>
    <w:p>
      <w:pPr>
        <w:keepNext w:val="false"/>
        <w:spacing w:after="0" w:before="10" w:line="216" w:lineRule="auto"/>
      </w:pPr>
      <w:r>
        <w:rPr>
          <w:rFonts w:ascii="Arial" w:cs="Arial" w:eastAsia="Arial" w:hAnsi="Arial"/>
          <w:color w:val="5F5F5F"/>
          <w:sz w:val="11"/>
          <w:szCs w:val="11"/>
        </w:rPr>
        <w:t xml:space="preserve">Probabilities (team assumptions, risk matrix): each variable at its historical extreme is remote (it happened once in ~11 quarters, ≈9%); low 2%, medium 5%, high 10% over 12 months. Bear: WACC +100 bp (FR1, high: 10%) and operating levers (OR1, medium: 5%, together). Bull: categories inverted (WACC −100 bp: 2%; operating: 5%). Distinct risks independent: bear 10% × 5% = 0.5%, bull 2% × 5% = 0.1%; base = the remainder (99.4%). The cut to a 23% tax rate is not in the probability. Source: Risks page (matrix); matriz_datos.py.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ALTERNATIVE METHODS AND ASSUMPTIONS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Test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unlevered value</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tax shields of debt</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per share</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2,106</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Peso-bond Rf 5.43% (WACC −107 bp)</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2,449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−31.1%</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constant WACC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1,883</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2,096</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−41.0%</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implied by the price: 7.60%</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pPr>
              <w:keepNext w:val="false"/>
              <w:pBdr>
                <w:bottom w:val="single" w:color="E9004B" w:sz="8" w:space="1"/>
              </w:pBdr>
              <w:spacing w:after="50" w:before="100"/>
            </w:pPr>
            <w:r>
              <w:rPr>
                <w:rFonts w:ascii="Arial" w:cs="Arial" w:eastAsia="Arial" w:hAnsi="Arial"/>
                <w:b/>
                <w:bCs/>
                <w:color w:val="14284B"/>
                <w:sz w:val="16"/>
                <w:szCs w:val="16"/>
              </w:rPr>
              <w:t xml:space="preserve">C. DEBT TARGET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Net debt/EBITDA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bp</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(current)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1,851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1,843</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1,835</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1,874</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1,844</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1,897</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EFFECT OF EACH LEVER ALONE ON THE DCF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425"/>
              <w:gridCol w:w="900"/>
              <w:gridCol w:w="900"/>
            </w:tblGrid>
            <w:tr>
              <w:trPr>
                <w:tblHeader/>
              </w:trPr>
              <w:tc>
                <w:tcPr>
                  <w:tcW w:type="dxa" w:w="34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Lever (tornado extremes)</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Bear</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Bull</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Occupancy</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Same-store rent 2027–28 (price)</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rent growth 2029–31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Visitor traffic 2027–28 (parking)</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Tenant sales 2027–28 (variable rent)</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±100 bp</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+430</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 tax (bull only)</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+136</w:t>
                  </w:r>
                </w:p>
              </w:tc>
            </w:tr>
          </w:tbl>
          <w:p>
            <w:pPr>
              <w:keepNext w:val="false"/>
              <w:pBdr>
                <w:bottom w:val="single" w:color="E9004B" w:sz="8" w:space="1"/>
              </w:pBdr>
              <w:spacing w:after="50" w:before="100"/>
            </w:pPr>
            <w:r>
              <w:rPr>
                <w:rFonts w:ascii="Arial" w:cs="Arial" w:eastAsia="Arial" w:hAnsi="Arial"/>
                <w:b/>
                <w:bCs/>
                <w:color w:val="14284B"/>
                <w:sz w:val="16"/>
                <w:szCs w:val="16"/>
              </w:rPr>
              <w:t xml:space="preserve">D. SENSITIVITIES REQUESTED BY THE REVIEW (OUTSIDE THE BASE CASE)</w:t>
            </w:r>
          </w:p>
          <w:tbl>
            <w:tblPr>
              <w:tblW w:type="dxa" w:w="4925"/>
              <w:tblBorders>
                <w:top w:val="none" w:color="FFFFFF" w:sz="0"/>
                <w:left w:val="none" w:color="FFFFFF" w:sz="0"/>
                <w:bottom w:val="none" w:color="FFFFFF" w:sz="0"/>
                <w:right w:val="none" w:color="FFFFFF" w:sz="0"/>
                <w:insideH w:val="none" w:color="FFFFFF" w:sz="0"/>
                <w:insideV w:val="none" w:color="FFFFFF" w:sz="0"/>
              </w:tblBorders>
            </w:tblPr>
            <w:tblGrid>
              <w:gridCol w:w="2325"/>
              <w:gridCol w:w="600"/>
              <w:gridCol w:w="6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Sensitivity</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 DCF</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Tax by jurisdiction: Peru 29.5%, Colombia 35% (weighted 28.3% vs 27%)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2,036</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−42.7%</w:t>
                  </w:r>
                </w:p>
              </w:tc>
            </w:tr>
            <w:tr>
              <w:tc>
                <w:tcPr>
                  <w:tcW w:type="dxa" w:w="23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at the 1H26 run-rate (0.88% vs 0.704% of revenue)</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1,861</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2,079</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−41.5%</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Gran Plaza included: USD 376m at a 9.4% cap rate (order of magnitude)</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1,848</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2,069</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−41.8%</w:t>
                  </w:r>
                </w:p>
              </w:tc>
            </w:tr>
          </w:tbl>
          <w:p/>
        </w:tc>
      </w:tr>
    </w:tbl>
    <w:p>
      <w:pPr>
        <w:keepNext w:val="false"/>
        <w:spacing w:after="0" w:before="10" w:line="216" w:lineRule="auto"/>
      </w:pPr>
      <w:r>
        <w:rPr>
          <w:rFonts w:ascii="Arial" w:cs="Arial" w:eastAsia="Arial" w:hAnsi="Arial"/>
          <w:color w:val="5F5F5F"/>
          <w:sz w:val="11"/>
          <w:szCs w:val="11"/>
        </w:rPr>
        <w:t xml:space="preserve">Bear and bull: every lever at the historical minimum/maximum of the Risks tornado (4Q23 and 3Q25 earnings releases for margin; Note 11 for long-run real growth) in all years; the bull does not recompute the WACC tax shield. Section D: each year's rate scaled by the EBITDA mix by country (Chile ~70%, Peru ~20%, Colombia ~10%; PwC Tax Summaries, Peru reviewed 13-Jul-26, Colombia 21-Jul-26); Gran Plaza at our implied cap rate (10.1%) − price paid, applying an EBITDA cap rate to an NOI. None changes the recommendation. Source: DCF v4 replica (escenarios_dcf.py); model v4, APV, Sensibilidad (table 2, static) and DCF sheets; Figuras_Valuacion, WACC_Construccion and V6.</w:t>
      </w:r>
    </w:p>
    <w:p>
      <w:pPr>
        <w:keepNext w:val="false"/>
        <w:pBdr>
          <w:bottom w:val="single" w:color="14284B" w:sz="18" w:space="2"/>
        </w:pBdr>
        <w:spacing w:after="80" w:before="0"/>
      </w:pPr>
      <w:r>
        <w:rPr>
          <w:rFonts w:ascii="Arial" w:cs="Arial" w:eastAsia="Arial" w:hAnsi="Arial"/>
          <w:b/>
          <w:bCs/>
          <w:color w:val="14284B"/>
          <w:sz w:val="30"/>
          <w:szCs w:val="30"/>
        </w:rPr>
        <w:t xml:space="preserve">APPENDIX 19: WACC CONSTRUCTION</w:t>
      </w:r>
    </w:p>
    <w:p>
      <w:pPr>
        <w:keepNext w:val="false"/>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weighted CRP</w:t>
      </w:r>
    </w:p>
    <w:p>
      <w:pPr>
        <w:keepNext w:val="false"/>
        <w:spacing w:after="10"/>
        <w:ind w:left="240"/>
      </w:pPr>
      <w:r>
        <w:rPr>
          <w:rFonts w:ascii="Arial" w:cs="Arial" w:eastAsia="Arial" w:hAnsi="Arial"/>
          <w:b/>
          <w:bCs/>
          <w:color w:val="14284B"/>
          <w:sz w:val="14"/>
          <w:szCs w:val="14"/>
        </w:rPr>
        <w:t xml:space="preserve">Ke CLP = (1 + Ke USD) × (1 + π Chile) / (1 + π US) − 1</w:t>
      </w:r>
    </w:p>
    <w:p>
      <w:pPr>
        <w:keepNext w:val="false"/>
        <w:spacing w:after="10"/>
        <w:ind w:left="240"/>
      </w:pPr>
      <w:r>
        <w:rPr>
          <w:rFonts w:ascii="Arial" w:cs="Arial" w:eastAsia="Arial" w:hAnsi="Arial"/>
          <w:b/>
          <w:bCs/>
          <w:color w:val="14284B"/>
          <w:sz w:val="14"/>
          <w:szCs w:val="14"/>
        </w:rPr>
        <w:t xml:space="preserve">Kd CLP = (1 + real Kd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keepNext w:val="false"/>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BY PERIOD (Figure 19.1)</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Figure 19.1: </w:t>
            </w:r>
            <w:r>
              <w:rPr>
                <w:rFonts w:ascii="Arial" w:cs="Arial" w:eastAsia="Arial" w:hAnsi="Arial"/>
                <w:color w:val="14284B"/>
                <w:sz w:val="14"/>
                <w:szCs w:val="14"/>
              </w:rPr>
              <w:t xml:space="preserve">Nominal WACC and D/E by period</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the replica matches the WACC sheet of model v4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2,323</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2,449</w:t>
                  </w:r>
                </w:p>
              </w:tc>
            </w:tr>
          </w:tbl>
          <w:p>
            <w:pPr>
              <w:keepNext w:val="false"/>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keepNext w:val="false"/>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2,449, still 31% below the CLP 3,555 share price. The recommendation does not change.</w:t>
            </w:r>
          </w:p>
          <w:p>
            <w:pPr>
              <w:keepNext w:val="false"/>
              <w:spacing w:after="0" w:before="30" w:line="216" w:lineRule="auto"/>
              <w:jc w:val="both"/>
            </w:pPr>
            <w:r>
              <w:rPr>
                <w:rFonts w:ascii="Arial" w:cs="Arial" w:eastAsia="Arial" w:hAnsi="Arial"/>
                <w:color w:val="5F5F5F"/>
                <w:sz w:val="11"/>
                <w:szCs w:val="11"/>
              </w:rPr>
              <w:t xml:space="preserve">Source: Central Bank of Chile, Informativo Diario 2-Jul-26; DCF v4 replica with the WACC shifted in every period.</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APPENDIX 20: MACROECONOMIC AND GEOPOLITICAL BACKDROP</w:t>
      </w:r>
    </w:p>
    <w:p>
      <w:pPr>
        <w:keepNext w:val="false"/>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 The figures cover the shock transmission (Figure 20.1), oil (Figure 20.2), sovereign yields (Figure 20.3), spreads (Figure 20.4), world growth and inflation (Figure 20.5) and Chile (Figure 20.6).</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Sep-26 average</w:t>
            </w:r>
          </w:p>
          <w:p>
            <w:pPr>
              <w:keepNext w:val="false"/>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10Y UST, 8-Oct-26</w:t>
            </w:r>
          </w:p>
          <w:p>
            <w:pPr>
              <w:keepNext w:val="false"/>
              <w:spacing w:after="0" w:line="216" w:lineRule="auto"/>
            </w:pPr>
            <w:r>
              <w:rPr>
                <w:rFonts w:ascii="Arial" w:cs="Arial" w:eastAsia="Arial" w:hAnsi="Arial"/>
                <w:color w:val="5F5F5F"/>
                <w:sz w:val="12"/>
                <w:szCs w:val="12"/>
              </w:rPr>
              <w:t xml:space="preserve">highest since 2002 (to be verified)</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bp</w:t>
            </w:r>
          </w:p>
          <w:p>
            <w:pPr>
              <w:keepNext w:val="false"/>
              <w:spacing w:after="10" w:line="216" w:lineRule="auto"/>
            </w:pPr>
            <w:r>
              <w:rPr>
                <w:rFonts w:ascii="Arial" w:cs="Arial" w:eastAsia="Arial" w:hAnsi="Arial"/>
                <w:b/>
                <w:bCs/>
                <w:color w:val="14284B"/>
                <w:sz w:val="13"/>
                <w:szCs w:val="13"/>
              </w:rPr>
              <w:t xml:space="preserve">France–Germany spread</w:t>
            </w:r>
          </w:p>
          <w:p>
            <w:pPr>
              <w:keepNext w:val="false"/>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IMF 2026: GDP | inflation</w:t>
            </w:r>
          </w:p>
          <w:p>
            <w:pPr>
              <w:keepNext w:val="false"/>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Chile 2026 GDP (BCCh)</w:t>
            </w:r>
          </w:p>
          <w:p>
            <w:pPr>
              <w:keepNext w:val="false"/>
              <w:spacing w:after="0" w:line="216" w:lineRule="auto"/>
            </w:pPr>
            <w:r>
              <w:rPr>
                <w:rFonts w:ascii="Arial" w:cs="Arial" w:eastAsia="Arial" w:hAnsi="Arial"/>
                <w:color w:val="5F5F5F"/>
                <w:sz w:val="12"/>
                <w:szCs w:val="12"/>
              </w:rPr>
              <w:t xml:space="preserve">down from 2–3% expected in Dec-25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keepNext w:val="false"/>
        <w:spacing w:after="30" w:before="40" w:line="228" w:lineRule="auto"/>
      </w:pPr>
      <w:r>
        <w:rPr>
          <w:rFonts w:ascii="Arial" w:cs="Arial" w:eastAsia="Arial" w:hAnsi="Arial"/>
          <w:b/>
          <w:bCs/>
          <w:color w:val="14284B"/>
          <w:sz w:val="14"/>
          <w:szCs w:val="14"/>
        </w:rPr>
        <w:t xml:space="preserve">Figure 20.1: </w:t>
      </w:r>
      <w:r>
        <w:rPr>
          <w:rFonts w:ascii="Arial" w:cs="Arial" w:eastAsia="Arial" w:hAnsi="Arial"/>
          <w:color w:val="14284B"/>
          <w:sz w:val="14"/>
          <w:szCs w:val="14"/>
        </w:rPr>
        <w:t xml:space="preserve">Transmission map: from global shocks to Mallplaza's risks</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Team analysis; figures from Figures 29–31 of the report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20.2: </w:t>
            </w:r>
            <w:r>
              <w:rPr>
                <w:rFonts w:ascii="Arial" w:cs="Arial" w:eastAsia="Arial" w:hAnsi="Arial"/>
                <w:color w:val="14284B"/>
                <w:sz w:val="14"/>
                <w:szCs w:val="14"/>
              </w:rPr>
              <w:t xml:space="preserve">Brent crude oil price, 2022–2026 (USD/barrel)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keepNext w:val="false"/>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20.3: </w:t>
            </w:r>
            <w:r>
              <w:rPr>
                <w:rFonts w:ascii="Arial" w:cs="Arial" w:eastAsia="Arial" w:hAnsi="Arial"/>
                <w:color w:val="14284B"/>
                <w:sz w:val="14"/>
                <w:szCs w:val="14"/>
              </w:rPr>
              <w:t xml:space="preserve">10-year sovereign yields,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the highest since 2002 (to be verified); the Bund went from −0.1% to 3.6%. Fiscal deficits push up the risk-free rate, and Chile has followed the move since mid-2026.</w:t>
            </w:r>
          </w:p>
          <w:p>
            <w:pPr>
              <w:keepNext w:val="false"/>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20.4: </w:t>
            </w:r>
            <w:r>
              <w:rPr>
                <w:rFonts w:ascii="Arial" w:cs="Arial" w:eastAsia="Arial" w:hAnsi="Arial"/>
                <w:color w:val="14284B"/>
                <w:sz w:val="14"/>
                <w:szCs w:val="14"/>
              </w:rPr>
              <w:t xml:space="preserve">10-year spreads: France–Germany and Chile–US (bp)</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keepNext w:val="false"/>
              <w:spacing w:after="0" w:before="10" w:line="216" w:lineRule="auto"/>
            </w:pPr>
            <w:r>
              <w:rPr>
                <w:rFonts w:ascii="Arial" w:cs="Arial" w:eastAsia="Arial" w:hAnsi="Arial"/>
                <w:color w:val="5F5F5F"/>
                <w:sz w:val="11"/>
                <w:szCs w:val="11"/>
              </w:rPr>
              <w:t xml:space="preserve">Source: Team calculation with Figure 20.3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20.5: </w:t>
            </w:r>
            <w:r>
              <w:rPr>
                <w:rFonts w:ascii="Arial" w:cs="Arial" w:eastAsia="Arial" w:hAnsi="Arial"/>
                <w:color w:val="14284B"/>
                <w:sz w:val="14"/>
                <w:szCs w:val="14"/>
              </w:rPr>
              <w:t xml:space="preserve">World growth and inflation,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keepNext w:val="false"/>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20.6: </w:t>
            </w:r>
            <w:r>
              <w:rPr>
                <w:rFonts w:ascii="Arial" w:cs="Arial" w:eastAsia="Arial" w:hAnsi="Arial"/>
                <w:color w:val="14284B"/>
                <w:sz w:val="14"/>
                <w:szCs w:val="14"/>
              </w:rPr>
              <w:t xml:space="preserve">Chile: GDP, inflation and policy rate,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keepNext w:val="false"/>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keepNext w:val="false"/>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of earnings (Fig. 31)</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bp = target price −12.5% (Fig. 30)</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traffic −1.3% / +2.5% of value (Fig. 29)</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bp: target price from CLP 2,077 to ~1,940 (Fig. 30)</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footfall and sales; pressure on occupancy (Fig. 29)</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footerReference w:type="default" r:id="rId8"/>
      <w:type w:val="nextPage"/>
      <w:pgSz w:w="11906" w:h="16838" w:orient="portrait"/>
      <w:pgMar w:top="200" w:right="200" w:bottom="420" w:left="200" w:header="0" w:footer="1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e4f513e480b807c532d9e3f3e7875c4083abcd2.png"/><Relationship Id="rId10" Type="http://schemas.openxmlformats.org/officeDocument/2006/relationships/image" Target="media/e010fa78821f96152db623858c06a06b731a4784.png"/><Relationship Id="rId11" Type="http://schemas.openxmlformats.org/officeDocument/2006/relationships/image" Target="media/9b3e6470e9c84bcb572d554c6336e50291049666.png"/><Relationship Id="rId12" Type="http://schemas.openxmlformats.org/officeDocument/2006/relationships/image" Target="media/930b12feb78c2a7223e3994135daa5f82e020ffe.png"/><Relationship Id="rId13" Type="http://schemas.openxmlformats.org/officeDocument/2006/relationships/image" Target="media/97008b1080de62d6fb081f52664a91d418d7934e.png"/><Relationship Id="rId14" Type="http://schemas.openxmlformats.org/officeDocument/2006/relationships/image" Target="media/128b7011b39de3be2a4085c1006f4097d392044c.png"/><Relationship Id="rId15" Type="http://schemas.openxmlformats.org/officeDocument/2006/relationships/image" Target="media/34cf5efedec970dddabf7ad7f0397fa946dde7af.png"/><Relationship Id="rId16" Type="http://schemas.openxmlformats.org/officeDocument/2006/relationships/image" Target="media/aa436bb3aa9a686f40cb70464b01c0030364a1d6.png"/><Relationship Id="rId17" Type="http://schemas.openxmlformats.org/officeDocument/2006/relationships/image" Target="media/a5d67bc4cccf18f1e9866ab0fddc8f7585c35148.png"/><Relationship Id="rId18" Type="http://schemas.openxmlformats.org/officeDocument/2006/relationships/image" Target="media/9186d6d0fd41b9f3fd8c32d4b6b821345cc10ac1.png"/><Relationship Id="rId19" Type="http://schemas.openxmlformats.org/officeDocument/2006/relationships/image" Target="media/51e598226025a42a737e6fef5a13425c2c8649a0.png"/><Relationship Id="rId20" Type="http://schemas.openxmlformats.org/officeDocument/2006/relationships/image" Target="media/9570f91f852c6c39aad8d6f047dd2c1bef9ac37e.png"/><Relationship Id="rId21" Type="http://schemas.openxmlformats.org/officeDocument/2006/relationships/image" Target="media/7f8911a6a4fdcc2831d9e8a06b4c90219a71b39d.png"/><Relationship Id="rId22" Type="http://schemas.openxmlformats.org/officeDocument/2006/relationships/image" Target="media/67d3af205c0720abae927a295402b8173067a71d.png"/><Relationship Id="rId23" Type="http://schemas.openxmlformats.org/officeDocument/2006/relationships/image" Target="media/fbaa45cc822c3cf6d5ceb7547cdd01441f6bb8f4.png"/><Relationship Id="rId24" Type="http://schemas.openxmlformats.org/officeDocument/2006/relationships/image" Target="media/0ecdedf336d9450fef0f4340e7d2f3445bf5d5ea.png"/><Relationship Id="rId25" Type="http://schemas.openxmlformats.org/officeDocument/2006/relationships/image" Target="media/dc8b801e649da54e7f89f24358a854500a6aa7a3.png"/><Relationship Id="rId26" Type="http://schemas.openxmlformats.org/officeDocument/2006/relationships/image" Target="media/0e8de6046ea8cf465c51ece1e2db1d0fdb7f5b9e.png"/><Relationship Id="rId27" Type="http://schemas.openxmlformats.org/officeDocument/2006/relationships/image" Target="media/dfe16ef57941409eee6e94a2d6c5511e46a35793.png"/><Relationship Id="rId28" Type="http://schemas.openxmlformats.org/officeDocument/2006/relationships/image" Target="media/2a6b0f2ac8832b7c12f667a3975c7b1964fe63e8.png"/><Relationship Id="rId29" Type="http://schemas.openxmlformats.org/officeDocument/2006/relationships/image" Target="media/1944e863e62344d05b6b4a9a1ea35573f0612b0e.png"/><Relationship Id="rId30" Type="http://schemas.openxmlformats.org/officeDocument/2006/relationships/image" Target="media/eeb49a167269fc0a91c0c4a75b20708efac19c4d.png"/><Relationship Id="rId31" Type="http://schemas.openxmlformats.org/officeDocument/2006/relationships/image" Target="media/30cb8469be326b2ca7bbe97b9caa7e1c4842f99d.png"/><Relationship Id="rId32" Type="http://schemas.openxmlformats.org/officeDocument/2006/relationships/image" Target="media/67c89cb4ae7917c65ab489b04440d7c5c815b40f.png"/><Relationship Id="rId33" Type="http://schemas.openxmlformats.org/officeDocument/2006/relationships/image" Target="media/d19845d240351a66262022ce06ffb29352733df7.png"/><Relationship Id="rId34" Type="http://schemas.openxmlformats.org/officeDocument/2006/relationships/image" Target="media/6d4245e5736d476c6068841c65de536c03dc7734.png"/><Relationship Id="rId35" Type="http://schemas.openxmlformats.org/officeDocument/2006/relationships/image" Target="media/67c8ea2a55c01eaf39a5b555e17932328157a3b1.png"/><Relationship Id="rId36" Type="http://schemas.openxmlformats.org/officeDocument/2006/relationships/image" Target="media/8ce02cfd5596b46551d3b09445cec0b23780f484.png"/><Relationship Id="rId37" Type="http://schemas.openxmlformats.org/officeDocument/2006/relationships/image" Target="media/f380d7fe63f8fd9a388d7c38a71d96b2a5e3197b.png"/><Relationship Id="rId38" Type="http://schemas.openxmlformats.org/officeDocument/2006/relationships/image" Target="media/2013f9d509b12f376912eb046c940a8b718f1150.png"/><Relationship Id="rId39" Type="http://schemas.openxmlformats.org/officeDocument/2006/relationships/image" Target="media/e66ec977db945196dc56c186ab1214ddefd8ca7a.png"/><Relationship Id="rId40" Type="http://schemas.openxmlformats.org/officeDocument/2006/relationships/image" Target="media/9a4c6a3eeed6c316724a526bd7def097993850a4.png"/><Relationship Id="rId41" Type="http://schemas.openxmlformats.org/officeDocument/2006/relationships/image" Target="media/b19010530b9f89b139583d8a0b69e20db4e80a4c.png"/><Relationship Id="rId42" Type="http://schemas.openxmlformats.org/officeDocument/2006/relationships/image" Target="media/c59b24049313dff36dc84ade4dcb2534413819d0.png"/><Relationship Id="rId43" Type="http://schemas.openxmlformats.org/officeDocument/2006/relationships/image" Target="media/4629fff7f4d90544c6881dfa0ac0b1581647ead4.png"/><Relationship Id="rId44" Type="http://schemas.openxmlformats.org/officeDocument/2006/relationships/image" Target="media/d810a8de8705d486a1cc41f629d6e44a63c29c7d.png"/><Relationship Id="rId45" Type="http://schemas.openxmlformats.org/officeDocument/2006/relationships/image" Target="media/79483e499b773861f736c4797e4f6cc8c65b3a9f.png"/><Relationship Id="rId46" Type="http://schemas.openxmlformats.org/officeDocument/2006/relationships/image" Target="media/30db9ba6696526f51fce71150cb064598929c470.png"/><Relationship Id="rId47" Type="http://schemas.openxmlformats.org/officeDocument/2006/relationships/image" Target="media/6776e5c5d5e3b831d3a6082e34880dd0764b9702.png"/><Relationship Id="rId48" Type="http://schemas.openxmlformats.org/officeDocument/2006/relationships/image" Target="media/6c32e3d1a1d4ea4565596481224b7e392927ea41.png"/><Relationship Id="rId49" Type="http://schemas.openxmlformats.org/officeDocument/2006/relationships/image" Target="media/fb371acf9afb43003bfd5fcfe998ff3f42126817.png"/><Relationship Id="rId50" Type="http://schemas.openxmlformats.org/officeDocument/2006/relationships/image" Target="media/9d7f4f37ccf94ef7fd235868df77621056da952c.png"/><Relationship Id="rId51" Type="http://schemas.openxmlformats.org/officeDocument/2006/relationships/image" Target="media/b6ce42f600e79cb79b0a52817697edfb12996ec6.png"/><Relationship Id="rId52" Type="http://schemas.openxmlformats.org/officeDocument/2006/relationships/image" Target="media/1987ead589840fa585f367b9fb74310fee03f7dd.png"/><Relationship Id="rId53" Type="http://schemas.openxmlformats.org/officeDocument/2006/relationships/image" Target="media/ec94e9494cd10abef6e22a73cddb32ee21ce3b10.png"/><Relationship Id="rId54" Type="http://schemas.openxmlformats.org/officeDocument/2006/relationships/image" Target="media/74b785ab5dc6ff2d7a2669dbff7ca479845d79c7.png"/><Relationship Id="rId55" Type="http://schemas.openxmlformats.org/officeDocument/2006/relationships/image" Target="media/cad639ca5e0bdcd7eee0898b91cc8274ca418bf7.png"/><Relationship Id="rId56" Type="http://schemas.openxmlformats.org/officeDocument/2006/relationships/image" Target="media/b75d7c57b9f5e0f71be8fa7975bc23b67c6f4a4a.png"/><Relationship Id="rId57" Type="http://schemas.openxmlformats.org/officeDocument/2006/relationships/image" Target="media/7640993cad1d25805eb3ec4b6d40d373df297a1b.png"/><Relationship Id="rId58" Type="http://schemas.openxmlformats.org/officeDocument/2006/relationships/image" Target="media/097d9e68442f8586148a911de890f9b42b249cf6.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2026-10-18T01:29:46.108Z</dcterms:created>
  <dcterms:modified xsi:type="dcterms:W3CDTF">2026-10-18T01:29:46.108Z</dcterms:modified>
</cp:coreProperties>
</file>

<file path=docProps/custom.xml><?xml version="1.0" encoding="utf-8"?>
<Properties xmlns="http://schemas.openxmlformats.org/officeDocument/2006/custom-properties" xmlns:vt="http://schemas.openxmlformats.org/officeDocument/2006/docPropsVTypes"/>
</file>