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[Z]).</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spacing w:after="60" w:before="0" w:line="228" w:lineRule="auto"/>
              <w:jc w:val="both"/>
            </w:pPr>
            <w:r>
              <w:rPr>
                <w:rFonts w:ascii="Arial" w:cs="Arial" w:eastAsia="Arial" w:hAnsi="Arial"/>
                <w:color w:val="1A1A1A"/>
                <w:sz w:val="16"/>
                <w:szCs w:val="16"/>
              </w:rPr>
              <w:t xml:space="preserve">Aquí aparece la primera señal: a CLP 3.555 el patrimonio rinde ~4,4% real, apenas 80 pb sobre el costo real de la deuda de la propia compañía (Figura 28). El mercado está pagando por la acción casi como si fuera un bono.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29). Son supuestos que el equipo puede defender línea a línea (Anexo [C]).</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spacing w:after="60" w:before="0" w:line="228" w:lineRule="auto"/>
              <w:jc w:val="both"/>
            </w:pPr>
            <w:r>
              <w:rPr>
                <w:rFonts w:ascii="Arial" w:cs="Arial" w:eastAsia="Arial" w:hAnsi="Arial"/>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el patrimonio rinde casi lo mismo que la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33). El mercado paga 1,61 veces un patrimonio que ya está a valor razonable, tasado con una tasa real de ~5,55% (Nota 11): paga más que los propios tasadores. Para justificar CLP 3.555 la WACC tendría que ser 285 pb menor (Figura 34); incluso con la tasa de los tasadores, el DCF sería CLP 2.660.</w:t>
            </w:r>
          </w:p>
          <w:p>
            <w:pPr>
              <w:spacing w:after="60" w:before="0" w:line="228" w:lineRule="auto"/>
              <w:jc w:val="both"/>
            </w:pPr>
            <w:r>
              <w:rPr>
                <w:rFonts w:ascii="Arial" w:cs="Arial" w:eastAsia="Arial" w:hAnsi="Arial"/>
                <w:color w:val="1A1A1A"/>
                <w:sz w:val="16"/>
                <w:szCs w:val="16"/>
              </w:rPr>
              <w:t xml:space="preserve">Llevamos la tesis a sus extremos. En un caso bear (WACC +100 pb y el margen mínimo histórico de 75,8%) el precio objetivo cae a CLP 1.712; en un caso bull que suma WACC −100 pb, g de 2,5%, el margen máximo de 81,3% y la rebaja del impuesto a 23%, sube a CLP 2.595, todavía 27% bajo el precio. El APV (CLP 1.894), una Rf basada en el bono en pesos (~CLP 2.439) y otros objetivos de deuda (DCF de CLP 1.819 a 1.894) llevan a la misma conclusión (Anexo [F]).</w:t>
            </w:r>
          </w:p>
          <w:p>
            <w:pPr>
              <w:spacing w:after="60" w:before="0" w:line="228" w:lineRule="auto"/>
              <w:jc w:val="both"/>
            </w:pP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(+3,9%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El precio exige una WACC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c7060131278eba50ab0a6b4e4b2960b3ce4706aa.png"/><Relationship Id="rId12" Type="http://schemas.openxmlformats.org/officeDocument/2006/relationships/image" Target="media/03d5d8833b5c2cb5bd07e46a37d802973eaa624a.png"/><Relationship Id="rId13" Type="http://schemas.openxmlformats.org/officeDocument/2006/relationships/image" Target="media/e2ccf62f48e92e82e3d897a5379bf2c580267fad.png"/><Relationship Id="rId14" Type="http://schemas.openxmlformats.org/officeDocument/2006/relationships/image" Target="media/0897f311e5cbffecbbe06a7ec01f09ab8e5e0710.png"/><Relationship Id="rId15" Type="http://schemas.openxmlformats.org/officeDocument/2006/relationships/image" Target="media/6126286bee20cf8b01464e351d7a26ba2dd68ffb.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2026-10-14T18:03:32.984Z</dcterms:created>
  <dcterms:modified xsi:type="dcterms:W3CDTF">2026-10-14T18:03:32.985Z</dcterms:modified>
</cp:coreProperties>
</file>

<file path=docProps/custom.xml><?xml version="1.0" encoding="utf-8"?>
<Properties xmlns="http://schemas.openxmlformats.org/officeDocument/2006/custom-properties" xmlns:vt="http://schemas.openxmlformats.org/officeDocument/2006/docPropsVTypes"/>
</file>