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(80% DCF y 20% múltiplos), 41,6% bajo el cierre de CLP 3.555 del 30-sep-26. Ningún método justifica el precio actual (Figura 27).</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SÍNTESIS Y PONDERACIÓN</w:t>
            </w:r>
          </w:p>
          <w:p>
            <w:pPr>
              <w:spacing w:after="60" w:before="0" w:line="228" w:lineRule="auto"/>
              <w:jc w:val="both"/>
            </w:pPr>
            <w:r>
              <w:rPr>
                <w:rFonts w:ascii="Arial" w:cs="Arial" w:eastAsia="Arial" w:hAnsi="Arial"/>
                <w:color w:val="1A1A1A"/>
                <w:sz w:val="16"/>
                <w:szCs w:val="16"/>
              </w:rPr>
              <w:t xml:space="preserve">Asignamos 80% al DCF porque Mallplaza opera infraestructura comercial con flujos de caja muy predecibles: el 81,4% de los ingresos UDM son arriendos y, de ellos, el 93% es renta fija (~76% de los ingresos totales). El DCF es el método que mejor captura el valor intrínseco del negocio y su plan de expansión.</w:t>
            </w:r>
          </w:p>
          <w:p>
            <w:pPr>
              <w:spacing w:after="60" w:before="0" w:line="228" w:lineRule="auto"/>
              <w:jc w:val="both"/>
            </w:pPr>
            <w:r>
              <w:rPr>
                <w:rFonts w:ascii="Arial" w:cs="Arial" w:eastAsia="Arial" w:hAnsi="Arial"/>
                <w:color w:val="1A1A1A"/>
                <w:sz w:val="16"/>
                <w:szCs w:val="16"/>
              </w:rPr>
              <w:t xml:space="preserve">Los múltiplos (20%) contrastan el modelo con lo que el mercado paga hoy por la industria. Limitamos su peso por dos razones: (i) en Chile solo hay dos pares directos y líquidos (Parque Arauco y Cencosud Shopping), lo que da poca profundidad estadística; y (ii) los múltiplos reflejan el sentimiento actual, pero no la expansión de GLA ni la trayectoria de financiamiento de Mallplaza, que sí están en el DCF.</w:t>
            </w:r>
          </w:p>
          <w:p>
            <w:pPr>
              <w:pBdr>
                <w:bottom w:val="single" w:color="E9004B" w:sz="8" w:space="1"/>
              </w:pBdr>
              <w:spacing w:after="50" w:before="90"/>
            </w:pPr>
            <w:r>
              <w:rPr>
                <w:rFonts w:ascii="Arial" w:cs="Arial" w:eastAsia="Arial" w:hAnsi="Arial"/>
                <w:b/>
                <w:bCs/>
                <w:color w:val="14284B"/>
                <w:sz w:val="16"/>
                <w:szCs w:val="16"/>
              </w:rPr>
              <w:t xml:space="preserve">DCF: ESTRUCTURA DEL MODELO</w:t>
            </w:r>
          </w:p>
          <w:p>
            <w:pPr>
              <w:spacing w:after="60" w:before="0" w:line="228" w:lineRule="auto"/>
              <w:jc w:val="both"/>
            </w:pPr>
            <w:r>
              <w:rPr>
                <w:rFonts w:ascii="Arial" w:cs="Arial" w:eastAsia="Arial" w:hAnsi="Arial"/>
                <w:color w:val="1A1A1A"/>
                <w:sz w:val="16"/>
                <w:szCs w:val="16"/>
              </w:rPr>
              <w:t xml:space="preserve">Valoramos un flujo de caja libre para la firma (FCFF) en dos etapas, en CLP nominales, con fecha de valoración 30-jun-26 y convención de mitad de período. La etapa explícita (2S26E–2031E) recoge el plan de inversión de corto plazo y la expansión de GLA; la etapa terminal (desde 2032) es una perpetuidad de Gordon que explica el 76% del enterprise value, una proporción coherente con activos de larga duración (Anexo [B]).</w:t>
            </w:r>
          </w:p>
          <w:p>
            <w:pPr>
              <w:spacing w:after="60" w:before="0" w:line="228" w:lineRule="auto"/>
              <w:jc w:val="both"/>
            </w:pPr>
            <w:r>
              <w:rPr>
                <w:rFonts w:ascii="Arial" w:cs="Arial" w:eastAsia="Arial" w:hAnsi="Arial"/>
                <w:color w:val="1A1A1A"/>
                <w:sz w:val="16"/>
                <w:szCs w:val="16"/>
              </w:rPr>
              <w:t xml:space="preserve">El horizonte explícito incorpora el capex y la maduración de ingresos de los proyectos que abren hasta 2032, que suman 108.301 m² de GLA madura en el año terminal. Ese crecimiento se financia con la caja operativa y con más deuda: la DFN/EBITDA sube de 2,36x a 3,5x en 2031. Desde 2032 el modelo no agrega GLA neta y el capex terminal cubre solo la mantención (5,5% de los ingresos), porque expandirse con un retorno menor a la WACC real destruiría valor (ver Valor terminal).</w:t>
            </w:r>
          </w:p>
          <w:p>
            <w:pPr>
              <w:pBdr>
                <w:bottom w:val="single" w:color="E9004B" w:sz="8" w:space="1"/>
              </w:pBdr>
              <w:spacing w:after="50" w:before="90"/>
            </w:pPr>
            <w:r>
              <w:rPr>
                <w:rFonts w:ascii="Arial" w:cs="Arial" w:eastAsia="Arial" w:hAnsi="Arial"/>
                <w:b/>
                <w:bCs/>
                <w:color w:val="14284B"/>
                <w:sz w:val="16"/>
                <w:szCs w:val="16"/>
              </w:rPr>
              <w:t xml:space="preserve">DCF: TASA DE DESCUENTO (WACC)</w:t>
            </w:r>
          </w:p>
          <w:p>
            <w:pPr>
              <w:spacing w:after="60" w:before="0" w:line="228" w:lineRule="auto"/>
              <w:jc w:val="both"/>
            </w:pPr>
            <w:r>
              <w:rPr>
                <w:rFonts w:ascii="Arial" w:cs="Arial" w:eastAsia="Arial" w:hAnsi="Arial"/>
                <w:color w:val="1A1A1A"/>
                <w:sz w:val="16"/>
                <w:szCs w:val="16"/>
              </w:rPr>
              <w:t xml:space="preserve">La WACC nominal en CLP cambia por período a medida que la estructura de capital converge a su objetivo: 10,54% en 2S26E y 10,41% en el terminal (7,32% y 7,20% en términos reales). Se construye con un CAPM ajustado por riesgo país (enfoque de Damodaran); el detalle está en el Anexo [Z].</w:t>
            </w:r>
          </w:p>
          <w:p>
            <w:pPr>
              <w:spacing w:after="60" w:before="0" w:line="228" w:lineRule="auto"/>
              <w:jc w:val="both"/>
            </w:pPr>
            <w:r>
              <w:rPr>
                <w:rFonts w:ascii="Arial" w:cs="Arial" w:eastAsia="Arial" w:hAnsi="Arial"/>
                <w:b/>
                <w:bCs/>
                <w:color w:val="14284B"/>
                <w:sz w:val="16"/>
                <w:szCs w:val="16"/>
              </w:rPr>
              <w:t xml:space="preserve">Costo del patrimonio (Ke). </w:t>
            </w:r>
            <w:r>
              <w:rPr>
                <w:rFonts w:ascii="Arial" w:cs="Arial" w:eastAsia="Arial" w:hAnsi="Arial"/>
                <w:color w:val="1A1A1A"/>
                <w:sz w:val="16"/>
                <w:szCs w:val="16"/>
              </w:rPr>
              <w:t xml:space="preserve">Como Rf, ERP y CRP están en dólares, el Ke se calcula primero en USD: Rf 4,98% (Tesoro de EE.UU. a 10 años) + beta 1,14 × ERP 4,14% (prima implícita de Damodaran) + CRP 1,41% = 11,10% en el terminal. La beta resulta de desapalancar con Hamada seis pares regionales (mediana 0,94) y re-apalancarla con la estructura de Mallplaza: 1,09 en 2S26E y 1,14 en el terminal. El CRP pondera el riesgo soberano por ingresos (71,8% Chile, 17,7% Perú y 10,5% Colombia). El Ke en USD se pasa a CLP con el diferencial de inflación esperada: 11,70% en 2S26E y 11,93% en el terminal.</w:t>
            </w:r>
          </w:p>
          <w:p>
            <w:pPr>
              <w:spacing w:after="60" w:before="0" w:line="228" w:lineRule="auto"/>
              <w:jc w:val="both"/>
            </w:pPr>
            <w:r>
              <w:rPr>
                <w:rFonts w:ascii="Arial" w:cs="Arial" w:eastAsia="Arial" w:hAnsi="Arial"/>
                <w:b/>
                <w:bCs/>
                <w:color w:val="14284B"/>
                <w:sz w:val="16"/>
                <w:szCs w:val="16"/>
              </w:rPr>
              <w:t xml:space="preserve">Costo de la deuda (Kd). </w:t>
            </w:r>
            <w:r>
              <w:rPr>
                <w:rFonts w:ascii="Arial" w:cs="Arial" w:eastAsia="Arial" w:hAnsi="Arial"/>
                <w:color w:val="1A1A1A"/>
                <w:sz w:val="16"/>
                <w:szCs w:val="16"/>
              </w:rPr>
              <w:t xml:space="preserve">Parte del cupón de la última emisión de bonos en UF (3,6% real), llevado a nominal con la meta de inflación del BCCh (3,0%), más 25 pb por cada vuelta de DFN/EBITDA sobre 2,36x (supuesto del equipo). Después de impuestos (27%), sube de 4,92% en 2S26E a 5,11% en el terminal. A CLP 3.555 el patrimonio rinde casi lo mismo que esta deuda (Figura 28).</w:t>
            </w:r>
          </w:p>
          <w:p>
            <w:pPr>
              <w:spacing w:after="60" w:before="0" w:line="228" w:lineRule="auto"/>
              <w:jc w:val="both"/>
            </w:pPr>
            <w:r>
              <w:rPr>
                <w:rFonts w:ascii="Arial" w:cs="Arial" w:eastAsia="Arial" w:hAnsi="Arial"/>
                <w:b/>
                <w:bCs/>
                <w:color w:val="14284B"/>
                <w:sz w:val="16"/>
                <w:szCs w:val="16"/>
              </w:rPr>
              <w:t xml:space="preserve">Estructura de capital. </w:t>
            </w:r>
            <w:r>
              <w:rPr>
                <w:rFonts w:ascii="Arial" w:cs="Arial" w:eastAsia="Arial" w:hAnsi="Arial"/>
                <w:color w:val="1A1A1A"/>
                <w:sz w:val="16"/>
                <w:szCs w:val="16"/>
              </w:rPr>
              <w:t xml:space="preserve">El objetivo de largo plazo es una DFN/EBITDA de 3,5x, alcanzada en forma lineal desde 2,36x hacia 2031: la compañía usa su capacidad de deuda para crecer, como en 2024 (3,78x tras la compra de Open Plaza Perú). A valor de mercado equivale a 77,8% patrimonio y 22,2% deuda (D/E 28,5%); por eso la WACC cambia en el tiempo. La caja que no absorben las inversiones se devuelve como distribución adicional a los accionistas (CLP 1,79 billones acumulados a 2031): no entra en el EV, pero hace que la deuda supuesta en la WACC exista en el plan (Anexo [D]).</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52 semanas pendiente (Bloomberg). Fuente: análisis del equipo; Bloomberg.</w:t>
            </w:r>
          </w:p>
          <w:p>
            <w:pPr>
              <w:spacing w:after="30" w:before="12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A CLP 3.555 el patrimonio rinde casi lo mismo que la deuda</w:t>
            </w:r>
          </w:p>
          <w:p>
            <w:pPr>
              <w:spacing w:after="20" w:before="0"/>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DCF: PROYECCIÓN OPERATIVA Y FCFF</w:t>
            </w:r>
          </w:p>
          <w:p>
            <w:pPr>
              <w:spacing w:after="60" w:before="0" w:line="228" w:lineRule="auto"/>
              <w:jc w:val="both"/>
            </w:pPr>
            <w:r>
              <w:rPr>
                <w:rFonts w:ascii="Arial" w:cs="Arial" w:eastAsia="Arial" w:hAnsi="Arial"/>
                <w:b/>
                <w:bCs/>
                <w:color w:val="14284B"/>
                <w:sz w:val="16"/>
                <w:szCs w:val="16"/>
              </w:rPr>
              <w:t xml:space="preserve">EBITDA sin revalorización. </w:t>
            </w:r>
            <w:r>
              <w:rPr>
                <w:rFonts w:ascii="Arial" w:cs="Arial" w:eastAsia="Arial" w:hAnsi="Arial"/>
                <w:color w:val="1A1A1A"/>
                <w:sz w:val="16"/>
                <w:szCs w:val="16"/>
              </w:rPr>
              <w:t xml:space="preserve">El EBITDA reportado (CLP 544.935 MM UDM, margen de 80,5%) excluye las ganancias no realizadas por revalorización de propiedades de inversión (NIC 40). Proyectamos un margen de 79,8% en 2026E, ~70 pb bajo el UDM, que se mantiene en ese nivel hasta 2031E (Anexo [C]).</w:t>
            </w:r>
          </w:p>
          <w:p>
            <w:pPr>
              <w:spacing w:after="60" w:before="0" w:line="228" w:lineRule="auto"/>
              <w:jc w:val="both"/>
            </w:pPr>
            <w:r>
              <w:rPr>
                <w:rFonts w:ascii="Arial" w:cs="Arial" w:eastAsia="Arial" w:hAnsi="Arial"/>
                <w:b/>
                <w:bCs/>
                <w:color w:val="14284B"/>
                <w:sz w:val="16"/>
                <w:szCs w:val="16"/>
              </w:rPr>
              <w:t xml:space="preserve">Impuesto operacional. </w:t>
            </w:r>
            <w:r>
              <w:rPr>
                <w:rFonts w:ascii="Arial" w:cs="Arial" w:eastAsia="Arial" w:hAnsi="Arial"/>
                <w:color w:val="1A1A1A"/>
                <w:sz w:val="16"/>
                <w:szCs w:val="16"/>
              </w:rPr>
              <w:t xml:space="preserve">La tasa efectiva sobre el EBIT parte en 16,8% en 2026E (impuesto corriente sobre EBITDA menos costo financiero, que incorpora beneficios tributarios vigentes) y converge a la tasa corporativa de 27% en 2030E: 16,8% → 19,0% → 21,5% → 24,0% → 27,0%. Suponemos que esos beneficios se diluyen para no sobreestimar el valor.</w:t>
            </w:r>
          </w:p>
          <w:p>
            <w:pPr>
              <w:spacing w:after="60" w:before="0" w:line="228" w:lineRule="auto"/>
              <w:jc w:val="both"/>
            </w:pPr>
            <w:r>
              <w:rPr>
                <w:rFonts w:ascii="Arial" w:cs="Arial" w:eastAsia="Arial" w:hAnsi="Arial"/>
                <w:b/>
                <w:bCs/>
                <w:color w:val="14284B"/>
                <w:sz w:val="16"/>
                <w:szCs w:val="16"/>
              </w:rPr>
              <w:t xml:space="preserve">Capex. </w:t>
            </w:r>
            <w:r>
              <w:rPr>
                <w:rFonts w:ascii="Arial" w:cs="Arial" w:eastAsia="Arial" w:hAnsi="Arial"/>
                <w:color w:val="1A1A1A"/>
                <w:sz w:val="16"/>
                <w:szCs w:val="16"/>
              </w:rPr>
              <w:t xml:space="preserve">El capex base (pipeline publicado más mantención y TI, de 5,5% de los ingresos) llega a un máximo de CLP 240.660 MM en 2027 y se estabiliza en CLP 48.000–52.000 MM anuales desde 2029. El capex de expansión suma CLP 46.268 MM en 2027 y CLP 95.000–104.000 MM anuales en 2028–2031: desde 2029 abren 27.075 m² al año (promedio del GLA orgánico agregado en 2022, 2023 y 2025), con el capex en los dos años previos, una rampa de ingresos de 35%/90%/100% y un yield on cost de 6,9%. El costo por m² (USD 3.603) sale del pipeline identificado: 170.200 m² y USD 613,2 MM (Release 2T26, p. 13).</w:t>
            </w:r>
          </w:p>
          <w:p>
            <w:pPr>
              <w:spacing w:after="60" w:before="0" w:line="228" w:lineRule="auto"/>
              <w:jc w:val="both"/>
            </w:pPr>
            <w:r>
              <w:rPr>
                <w:rFonts w:ascii="Arial" w:cs="Arial" w:eastAsia="Arial" w:hAnsi="Arial"/>
                <w:b/>
                <w:bCs/>
                <w:color w:val="14284B"/>
                <w:sz w:val="16"/>
                <w:szCs w:val="16"/>
              </w:rPr>
              <w:t xml:space="preserve">Capital de trabajo. </w:t>
            </w:r>
            <w:r>
              <w:rPr>
                <w:rFonts w:ascii="Arial" w:cs="Arial" w:eastAsia="Arial" w:hAnsi="Arial"/>
                <w:color w:val="1A1A1A"/>
                <w:sz w:val="16"/>
                <w:szCs w:val="16"/>
              </w:rPr>
              <w:t xml:space="preserve">Mallplaza mantiene un capital de trabajo neto positivo (CLP 102.039 MM, 15,6% de los ingresos a dic-25), porque las cuentas por cobrar a locatarios (CLP 122.370 MM) superan los arriendos cobrados por anticipado (CLP 20.247 MM). La inversión incremental (15,6% × Δ ingresos) es baja y predecible: CLP 7.100–9.900 MM al año, entre 0,7% y 1,3% de los ingresos. Cambiar este supuesto mueve el precio en ±1,2% (Figura 29).</w:t>
            </w:r>
          </w:p>
          <w:p>
            <w:pPr>
              <w:pBdr>
                <w:bottom w:val="single" w:color="E9004B" w:sz="8" w:space="1"/>
              </w:pBdr>
              <w:spacing w:after="50" w:before="90"/>
            </w:pPr>
            <w:r>
              <w:rPr>
                <w:rFonts w:ascii="Arial" w:cs="Arial" w:eastAsia="Arial" w:hAnsi="Arial"/>
                <w:b/>
                <w:bCs/>
                <w:color w:val="14284B"/>
                <w:sz w:val="16"/>
                <w:szCs w:val="16"/>
              </w:rPr>
              <w:t xml:space="preserve">DCF: VALOR TERMINAL Y CAP RATE IMPLÍCITO</w:t>
            </w:r>
          </w:p>
          <w:p>
            <w:pPr>
              <w:spacing w:after="60" w:before="0" w:line="228" w:lineRule="auto"/>
              <w:jc w:val="both"/>
            </w:pPr>
            <w:r>
              <w:rPr>
                <w:rFonts w:ascii="Arial" w:cs="Arial" w:eastAsia="Arial" w:hAnsi="Arial"/>
                <w:b/>
                <w:bCs/>
                <w:color w:val="14284B"/>
                <w:sz w:val="16"/>
                <w:szCs w:val="16"/>
              </w:rPr>
              <w:t xml:space="preserve">Crecimiento terminal. </w:t>
            </w:r>
            <w:r>
              <w:rPr>
                <w:rFonts w:ascii="Arial" w:cs="Arial" w:eastAsia="Arial" w:hAnsi="Arial"/>
                <w:color w:val="1A1A1A"/>
                <w:sz w:val="16"/>
                <w:szCs w:val="16"/>
              </w:rPr>
              <w:t xml:space="preserve">Usamos g = 3,0% nominal (0% real), igual a la meta de inflación del BCCh. Lo justifica el value driver: el RONIC real de la expansión (5,0%) es menor que la WACC real (7,2%), de modo que seguir expandiéndose después del horizonte destruiría valor y un g mayor reduce el valor (Figura 30). Por eso la reinversión terminal es cero y los arriendos crecen solo con la inflación.</w:t>
            </w:r>
          </w:p>
          <w:p>
            <w:pPr>
              <w:spacing w:after="60" w:before="0" w:line="228" w:lineRule="auto"/>
              <w:jc w:val="both"/>
            </w:pPr>
            <w:r>
              <w:rPr>
                <w:rFonts w:ascii="Arial" w:cs="Arial" w:eastAsia="Arial" w:hAnsi="Arial"/>
                <w:b/>
                <w:bCs/>
                <w:color w:val="14284B"/>
                <w:sz w:val="16"/>
                <w:szCs w:val="16"/>
              </w:rPr>
              <w:t xml:space="preserve">Cap rate implícito. </w:t>
            </w:r>
            <w:r>
              <w:rPr>
                <w:rFonts w:ascii="Arial" w:cs="Arial" w:eastAsia="Arial" w:hAnsi="Arial"/>
                <w:color w:val="1A1A1A"/>
                <w:sz w:val="16"/>
                <w:szCs w:val="16"/>
              </w:rPr>
              <w:t xml:space="preserve">El DCF implica un cap rate real de 10,1% sobre el enterprise value y de 11,3% sobre el valor terminal, muy por sobre el del mercado (6,0%), el de los pares chilenos (6,4%), el cap rate a valor libro (7,5%) y la tasa real que usan los tasadores independientes en la Nota 11 de los EEFF (5,55%, punto medio del rango) (Figura 31). Esta brecha no es una inconsistencia que resolver: es el núcleo de la tesis. Nuestro modelo exige a los flujos mucho más que el mercado y los tasadores; para justificar el precio actual, la WACC tendría que ser 285 pb menor (Figura 32).</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Capital de trabajo: un supuesto que no mueve el precio (±1,2%)</w:t>
            </w:r>
          </w:p>
          <w:p>
            <w:pPr>
              <w:spacing w:after="20" w:before="0"/>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EEFF Mallplaza; análisis del equipo.</w:t>
            </w:r>
          </w:p>
          <w:p>
            <w:pPr>
              <w:spacing w:after="30" w:before="12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p>
            <w:pPr>
              <w:spacing w:after="30" w:before="1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El mercado paga 6,0%; nuestros flujos valen 10,1%</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VALUACIÓN RELATIVA: MÚLTIPLOS (20%)</w:t>
            </w:r>
          </w:p>
          <w:p>
            <w:pPr>
              <w:spacing w:after="60" w:before="0" w:line="228" w:lineRule="auto"/>
              <w:jc w:val="both"/>
            </w:pPr>
            <w:r>
              <w:rPr>
                <w:rFonts w:ascii="Arial" w:cs="Arial" w:eastAsia="Arial" w:hAnsi="Arial"/>
                <w:b/>
                <w:bCs/>
                <w:color w:val="14284B"/>
                <w:sz w:val="16"/>
                <w:szCs w:val="16"/>
              </w:rPr>
              <w:t xml:space="preserve">Peer group. </w:t>
            </w:r>
            <w:r>
              <w:rPr>
                <w:rFonts w:ascii="Arial" w:cs="Arial" w:eastAsia="Arial" w:hAnsi="Arial"/>
                <w:color w:val="1A1A1A"/>
                <w:sz w:val="16"/>
                <w:szCs w:val="16"/>
              </w:rPr>
              <w:t xml:space="preserve">Es el mismo set que define la beta: dos pares chilenos (Parque Arauco y Cencosud Shopping), tres brasileños (Allos, Multiplan e Iguatemi) e IRSA (Argentina), elegidos por modelo de negocio, escala y calidad de los activos de arriendo. IRSA se mantiene con cautela, porque reporta bajo NIC 29 (hiperinflación) y su consenso NTM tiene un solo analista. Excluimos Fibra Danhos (México): como FIBRA debe distribuir el 95% de su resultado fiscal, lo que altera sus múltiplos, y no tiene beta en la WACC (Anexo [E]).</w:t>
            </w:r>
          </w:p>
          <w:p>
            <w:pPr>
              <w:spacing w:after="60" w:before="0" w:line="228" w:lineRule="auto"/>
              <w:jc w:val="both"/>
            </w:pPr>
            <w:r>
              <w:rPr>
                <w:rFonts w:ascii="Arial" w:cs="Arial" w:eastAsia="Arial" w:hAnsi="Arial"/>
                <w:color w:val="1A1A1A"/>
                <w:sz w:val="16"/>
                <w:szCs w:val="16"/>
              </w:rPr>
              <w:t xml:space="preserve">Los pares brasileños transan a múltiplos estructuralmente más bajos por las mayores tasas y primas de riesgo de Brasil (mediana de 9,0x EV/EBITDA frente a 15,7x en Chile; Figura 33). Aplicar el set completo sin ajuste castigaría a Mallplaza por un riesgo ajeno, cuando el 71,8% de sus ingresos viene de Chile. Por eso el múltiplo pondera 70% la mediana chilena y 30% la del set completo.</w:t>
            </w:r>
          </w:p>
          <w:p>
            <w:pPr>
              <w:spacing w:after="60" w:before="0" w:line="228" w:lineRule="auto"/>
              <w:jc w:val="both"/>
            </w:pPr>
            <w:r>
              <w:rPr>
                <w:rFonts w:ascii="Arial" w:cs="Arial" w:eastAsia="Arial" w:hAnsi="Arial"/>
                <w:b/>
                <w:bCs/>
                <w:color w:val="14284B"/>
                <w:sz w:val="16"/>
                <w:szCs w:val="16"/>
              </w:rPr>
              <w:t xml:space="preserve">Múltiplo principal. </w:t>
            </w:r>
            <w:r>
              <w:rPr>
                <w:rFonts w:ascii="Arial" w:cs="Arial" w:eastAsia="Arial" w:hAnsi="Arial"/>
                <w:color w:val="1A1A1A"/>
                <w:sz w:val="16"/>
                <w:szCs w:val="16"/>
              </w:rPr>
              <w:t xml:space="preserve">Usamos EV/EBITDA porque es neutral a la estructura de deuda y deja fuera la revalorización de propiedades (NIC 40): mide solo la caja operativa del GLA arrendado. El múltiplo objetivo es 14,4x (70% × 15,7x + 30% × 11,1x) y lleva a CLP 2.951 por acción. Mallplaza transa a 16,8x LTM: 7% sobre la mediana chilena, bajo Parque Arauco (18,4x) y 17% sobre el múltiplo ponderado (Figura 34). Los múltiplos confirman la dirección (la acción está cara); la magnitud del downside viene del DCF.</w:t>
            </w:r>
          </w:p>
          <w:p>
            <w:pPr>
              <w:spacing w:after="60" w:before="0" w:line="228" w:lineRule="auto"/>
              <w:jc w:val="both"/>
            </w:pPr>
            <w:r>
              <w:rPr>
                <w:rFonts w:ascii="Arial" w:cs="Arial" w:eastAsia="Arial" w:hAnsi="Arial"/>
                <w:color w:val="1A1A1A"/>
                <w:sz w:val="16"/>
                <w:szCs w:val="16"/>
              </w:rPr>
              <w:t xml:space="preserve">Excluimos el P/E porque su valor implícito (CLP 8.644) está distorsionado por la revalorización en la utilidad. Para ser consistentes con los pares, los múltiplos usan la deuda neta de Bloomberg (CLP 1.311.569 MM), levemente distinta de la DFN de la compañía que usa el DCF (CLP 1.285.740 MM).</w:t>
            </w:r>
          </w:p>
          <w:p>
            <w:pPr>
              <w:pBdr>
                <w:bottom w:val="single" w:color="E9004B" w:sz="8" w:space="1"/>
              </w:pBdr>
              <w:spacing w:after="50" w:before="90"/>
            </w:pPr>
            <w:r>
              <w:rPr>
                <w:rFonts w:ascii="Arial" w:cs="Arial" w:eastAsia="Arial" w:hAnsi="Arial"/>
                <w:b/>
                <w:bCs/>
                <w:color w:val="14284B"/>
                <w:sz w:val="16"/>
                <w:szCs w:val="16"/>
              </w:rPr>
              <w:t xml:space="preserve">SENSIBILIDAD Y RIESGOS DE LA VALUACIÓN</w:t>
            </w:r>
          </w:p>
          <w:p>
            <w:pPr>
              <w:spacing w:after="60" w:before="0" w:line="228" w:lineRule="auto"/>
              <w:jc w:val="both"/>
            </w:pPr>
            <w:r>
              <w:rPr>
                <w:rFonts w:ascii="Arial" w:cs="Arial" w:eastAsia="Arial" w:hAnsi="Arial"/>
                <w:b/>
                <w:bCs/>
                <w:color w:val="14284B"/>
                <w:sz w:val="16"/>
                <w:szCs w:val="16"/>
              </w:rPr>
              <w:t xml:space="preserve">Sensibilidad. </w:t>
            </w:r>
            <w:r>
              <w:rPr>
                <w:rFonts w:ascii="Arial" w:cs="Arial" w:eastAsia="Arial" w:hAnsi="Arial"/>
                <w:color w:val="1A1A1A"/>
                <w:sz w:val="16"/>
                <w:szCs w:val="16"/>
              </w:rPr>
              <w:t xml:space="preserve">Con la WACC ±100 pb y un g entre 2,5% y 4,0%, el valor DCF va de CLP 1.379 a 2.329, con centro en CLP 1.857 (Figura 25; Anexo [F]). Incluso el extremo más favorable queda muy bajo el precio de CLP 3.555. En la operación, el peor caso histórico (margen EBITDA de 75,8%) resta 10,0% al DCF (Figura 24).</w:t>
            </w:r>
          </w:p>
          <w:p>
            <w:pPr>
              <w:spacing w:after="60" w:before="0" w:line="228" w:lineRule="auto"/>
              <w:jc w:val="both"/>
            </w:pPr>
            <w:r>
              <w:rPr>
                <w:rFonts w:ascii="Arial" w:cs="Arial" w:eastAsia="Arial" w:hAnsi="Arial"/>
                <w:b/>
                <w:bCs/>
                <w:color w:val="14284B"/>
                <w:sz w:val="16"/>
                <w:szCs w:val="16"/>
              </w:rPr>
              <w:t xml:space="preserve">Dispersión por múltiplos. </w:t>
            </w:r>
            <w:r>
              <w:rPr>
                <w:rFonts w:ascii="Arial" w:cs="Arial" w:eastAsia="Arial" w:hAnsi="Arial"/>
                <w:color w:val="1A1A1A"/>
                <w:sz w:val="16"/>
                <w:szCs w:val="16"/>
              </w:rPr>
              <w:t xml:space="preserve">Los múltiplos son el escenario más favorable para la acción y aun así todos quedan bajo el precio: EV/EBITDA LTM CLP 2.951 (−17%), EV/EBITDA NTM CLP 2.914 (−18%), EV/EBIT CLP 3.098 (−13%) y P/BV CLP 3.171 (−11%), al igual que la mediana chilena por sí sola (CLP 3.294, −7%) (Figura 27). Que la acción esté cara no depende solo del DCF.</w:t>
            </w:r>
          </w:p>
          <w:p>
            <w:pPr>
              <w:spacing w:after="60" w:before="0" w:line="228" w:lineRule="auto"/>
              <w:jc w:val="both"/>
            </w:pPr>
            <w:r>
              <w:rPr>
                <w:rFonts w:ascii="Arial" w:cs="Arial" w:eastAsia="Arial" w:hAnsi="Arial"/>
                <w:b/>
                <w:bCs/>
                <w:color w:val="14284B"/>
                <w:sz w:val="16"/>
                <w:szCs w:val="16"/>
              </w:rPr>
              <w:t xml:space="preserve">Chequeos de robustez. </w:t>
            </w:r>
            <w:r>
              <w:rPr>
                <w:rFonts w:ascii="Arial" w:cs="Arial" w:eastAsia="Arial" w:hAnsi="Arial"/>
                <w:color w:val="1A1A1A"/>
                <w:sz w:val="16"/>
                <w:szCs w:val="16"/>
              </w:rPr>
              <w:t xml:space="preserve">(i) El APV da CLP 1.894 por acción, 2% sobre el DCF; (ii) con el bono en pesos como tasa libre de riesgo, el precio objetivo sube a ~CLP 2.439, todavía 31% bajo el precio (Anexo [Z]); y (iii) con un objetivo de DFN/EBITDA entre 2,36x y 4,0x y un spread de 0 a 50 pb por vuelta, el DCF se mueve entre CLP 1.819 y 1.894.</w:t>
            </w:r>
          </w:p>
          <w:p>
            <w:pPr>
              <w:spacing w:after="60" w:before="0" w:line="228" w:lineRule="auto"/>
              <w:jc w:val="both"/>
            </w:pPr>
            <w:r>
              <w:rPr>
                <w:rFonts w:ascii="Arial" w:cs="Arial" w:eastAsia="Arial" w:hAnsi="Arial"/>
                <w:b/>
                <w:bCs/>
                <w:color w:val="14284B"/>
                <w:sz w:val="16"/>
                <w:szCs w:val="16"/>
              </w:rPr>
              <w:t xml:space="preserve">Precio objetivo. </w:t>
            </w:r>
            <w:r>
              <w:rPr>
                <w:rFonts w:ascii="Arial" w:cs="Arial" w:eastAsia="Arial" w:hAnsi="Arial"/>
                <w:color w:val="1A1A1A"/>
                <w:sz w:val="16"/>
                <w:szCs w:val="16"/>
              </w:rPr>
              <w:t xml:space="preserve">80% × CLP 1.857 + 20% × CLP 2.951 = CLP 2.076, un retorno esperado de −41,6% frente al cierre de CLP 3.555 del 30-sep-26. El DCF está a fecha 30-jun-26; llevarlo a la fecha del precio (capitalizando al Ke por 0,25 años) lo subiría a ~CLP 1.910 y el precio objetivo a ~CLP 2.118 (−40,4%), sin cambiar la recomendación.</w:t>
            </w:r>
          </w:p>
          <w:p>
            <w:pPr>
              <w:spacing w:after="60" w:before="0" w:line="228" w:lineRule="auto"/>
              <w:jc w:val="both"/>
            </w:pPr>
            <w:r>
              <w:rPr>
                <w:rFonts w:ascii="Arial" w:cs="Arial" w:eastAsia="Arial" w:hAnsi="Arial"/>
                <w:b/>
                <w:bCs/>
                <w:color w:val="14284B"/>
                <w:sz w:val="16"/>
                <w:szCs w:val="16"/>
              </w:rPr>
              <w:t xml:space="preserve">Riesgos al alza. </w:t>
            </w:r>
            <w:r>
              <w:rPr>
                <w:rFonts w:ascii="Arial" w:cs="Arial" w:eastAsia="Arial" w:hAnsi="Arial"/>
                <w:color w:val="1A1A1A"/>
                <w:sz w:val="16"/>
                <w:szCs w:val="16"/>
              </w:rPr>
              <w:t xml:space="preserve">Una compresión adicional y sostenida de los cap rates de mercado, impulsada por mayor apetito institucional por activos inmobiliarios defensivos en la región, o una prima estructural para los activos Tier A de Mallplaza si su calidad y poder de fijación de precios resultan más duraderos de lo que asume el modelo (ver Riesgos de inversión).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El precio exige una WACC 285 pb menor</w:t>
            </w:r>
          </w:p>
          <w:p>
            <w:pPr>
              <w:spacing w:after="20" w:before="0"/>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p>
            <w:pPr>
              <w:spacing w:after="30" w:before="12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Múltiplos de los pares vs tasa local</w:t>
            </w:r>
          </w:p>
          <w:tbl>
            <w:tblPr>
              <w:tblW w:type="dxa" w:w="3550"/>
              <w:tblBorders>
                <w:top w:val="single" w:color="auto" w:sz="4"/>
                <w:left w:val="single" w:color="auto" w:sz="4"/>
                <w:bottom w:val="single" w:color="auto" w:sz="4"/>
                <w:right w:val="single" w:color="auto" w:sz="4"/>
                <w:insideH w:val="single" w:color="auto" w:sz="4"/>
                <w:insideV w:val="single" w:color="auto" w:sz="4"/>
              </w:tblBorders>
            </w:tblPr>
            <w:tblGrid>
              <w:gridCol w:w="3550"/>
            </w:tblGrid>
            <w:tr>
              <w:trPr>
                <w:trHeight w:val="1700" w:hRule="atLeast"/>
              </w:trPr>
              <w:tc>
                <w:tcPr>
                  <w:tcW w:type="dxa" w:w="3550"/>
                  <w:tcBorders>
                    <w:top w:val="dashed" w:color="9AA3B5" w:sz="6"/>
                    <w:left w:val="dashed" w:color="9AA3B5" w:sz="6"/>
                    <w:bottom w:val="dashed" w:color="9AA3B5" w:sz="6"/>
                    <w:right w:val="dashed" w:color="9AA3B5" w:sz="6"/>
                  </w:tcBorders>
                  <w:shd w:fill="F7F8FB" w:color="auto" w:val="clear"/>
                  <w:vAlign w:val="center"/>
                </w:tcPr>
                <w:p>
                  <w:pPr>
                    <w:jc w:val="center"/>
                  </w:pPr>
                  <w:r>
                    <w:rPr>
                      <w:rFonts w:ascii="Arial" w:cs="Arial" w:eastAsia="Arial" w:hAnsi="Arial"/>
                      <w:i/>
                      <w:iCs/>
                      <w:color w:val="5F5F5F"/>
                      <w:sz w:val="14"/>
                      <w:szCs w:val="14"/>
                    </w:rPr>
                    <w:t xml:space="preserve">Gráfico pendiente (falta la NTN-B de Brasil, Bloomberg).</w:t>
                  </w:r>
                </w:p>
              </w:tc>
            </w:tr>
          </w:tbl>
          <w:p>
            <w:pPr>
              <w:spacing w:after="30" w:before="120" w:line="228" w:lineRule="auto"/>
            </w:pPr>
            <w:r>
              <w:rPr>
                <w:rFonts w:ascii="Arial" w:cs="Arial" w:eastAsia="Arial" w:hAnsi="Arial"/>
                <w:b/>
                <w:bCs/>
                <w:color w:val="14284B"/>
                <w:sz w:val="14"/>
                <w:szCs w:val="14"/>
              </w:rPr>
              <w:t xml:space="preserve">Figura 34: </w:t>
            </w:r>
            <w:r>
              <w:rPr>
                <w:rFonts w:ascii="Arial" w:cs="Arial" w:eastAsia="Arial" w:hAnsi="Arial"/>
                <w:color w:val="14284B"/>
                <w:sz w:val="14"/>
                <w:szCs w:val="14"/>
              </w:rPr>
              <w:t xml:space="preserve">Valor implícito por múltiplo de cada par vs DCF y precio (CLP por acción)</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de propiedades). Set de pares = empresas con beta en la WACC. Fuente: Bloomberg (precios al 30-09-26); análisis del equipo.</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ANEXO [Z]: CONSTRUCCIÓN DE LA WACC</w:t>
      </w:r>
    </w:p>
    <w:p>
      <w:pPr>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CRP ponderado</w:t>
      </w:r>
    </w:p>
    <w:p>
      <w:pPr>
        <w:spacing w:after="10"/>
        <w:ind w:left="240"/>
      </w:pPr>
      <w:r>
        <w:rPr>
          <w:rFonts w:ascii="Arial" w:cs="Arial" w:eastAsia="Arial" w:hAnsi="Arial"/>
          <w:b/>
          <w:bCs/>
          <w:color w:val="14284B"/>
          <w:sz w:val="14"/>
          <w:szCs w:val="14"/>
        </w:rPr>
        <w:t xml:space="preserve">Ke CLP = (1 + Ke USD) × (1 + π Chile) / (1 + π EE.UU.) − 1</w:t>
      </w:r>
    </w:p>
    <w:p>
      <w:pPr>
        <w:spacing w:after="10"/>
        <w:ind w:left="240"/>
      </w:pPr>
      <w:r>
        <w:rPr>
          <w:rFonts w:ascii="Arial" w:cs="Arial" w:eastAsia="Arial" w:hAnsi="Arial"/>
          <w:b/>
          <w:bCs/>
          <w:color w:val="14284B"/>
          <w:sz w:val="14"/>
          <w:szCs w:val="14"/>
        </w:rPr>
        <w:t xml:space="preserve">Kd CLP = (1 + Kd real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Figura Z1: </w:t>
            </w:r>
            <w:r>
              <w:rPr>
                <w:rFonts w:ascii="Arial" w:cs="Arial" w:eastAsia="Arial" w:hAnsi="Arial"/>
                <w:color w:val="14284B"/>
                <w:sz w:val="14"/>
                <w:szCs w:val="14"/>
              </w:rPr>
              <w:t xml:space="preserve">WACC nominal y D/E por período</w:t>
            </w:r>
          </w:p>
          <w:p>
            <w:pPr>
              <w:spacing w:after="20" w:before="0"/>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b348fe2cf624c278d1fb4a8a6a4a69d7e3d979c.png"/><Relationship Id="rId12" Type="http://schemas.openxmlformats.org/officeDocument/2006/relationships/image" Target="media/f4b95aa413771b1f08b7f62face5117b70aaab8f.png"/><Relationship Id="rId13" Type="http://schemas.openxmlformats.org/officeDocument/2006/relationships/image" Target="media/328f2c60889fc8aa0b3b733bed64c607c599d6dd.png"/><Relationship Id="rId14" Type="http://schemas.openxmlformats.org/officeDocument/2006/relationships/image" Target="media/ed3129060ce94d3c1398fcbf8b9268a320428b69.png"/><Relationship Id="rId15" Type="http://schemas.openxmlformats.org/officeDocument/2006/relationships/image" Target="media/2aa57cef7da9e4d5005f807e2f30d9cddf02ab19.png"/><Relationship Id="rId16" Type="http://schemas.openxmlformats.org/officeDocument/2006/relationships/image" Target="media/cfbf5acba453ccf3377ff247a69f09666e6aff6b.png"/><Relationship Id="rId17" Type="http://schemas.openxmlformats.org/officeDocument/2006/relationships/image" Target="media/a14461c60f2f31bfdc29315896668970d5d2ddcf.png"/><Relationship Id="rId18" Type="http://schemas.openxmlformats.org/officeDocument/2006/relationships/image" Target="media/6d343a0f77820887ad9dd1c143c19f131bf77a7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2026-10-14T01:32:51.976Z</dcterms:created>
  <dcterms:modified xsi:type="dcterms:W3CDTF">2026-10-14T01:32:51.980Z</dcterms:modified>
</cp:coreProperties>
</file>

<file path=docProps/custom.xml><?xml version="1.0" encoding="utf-8"?>
<Properties xmlns="http://schemas.openxmlformats.org/officeDocument/2006/custom-properties" xmlns:vt="http://schemas.openxmlformats.org/officeDocument/2006/docPropsVTypes"/>
</file>