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FINANCIAL ANALYSIS</w:t>
      </w:r>
    </w:p>
    <w:p>
      <w:pPr>
        <w:shd w:fill="EEF1F6" w:color="auto" w:val="clear"/>
        <w:spacing w:after="60" w:line="228" w:lineRule="auto"/>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spacing w:after="30" w:before="4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’31 E</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961</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52.2</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445</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46.2</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.094</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r>
      <w:tr>
        <w:trPr>
          <w:cantSplit/>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w:t>
            </w:r>
          </w:p>
        </w:tc>
      </w:tr>
    </w:tbl>
    <w:p>
      <w:pPr>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Reported earnings track the appraiser; FFO tracks the business</w:t>
            </w:r>
          </w:p>
          <w:p>
            <w:pPr>
              <w:spacing w:after="60" w:before="0" w:line="228" w:lineRule="auto"/>
              <w:jc w:val="both"/>
            </w:pPr>
            <w:r>
              <w:rPr>
                <w:rFonts w:ascii="Arial" w:cs="Arial" w:eastAsia="Arial" w:hAnsi="Arial"/>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 About two-thirds of Chile's 29% uplift came from a lower appraisal discount rate, not from higher NOI.</w:t>
            </w:r>
          </w:p>
          <w:p>
            <w:pPr>
              <w:spacing w:after="60" w:before="0" w:line="228" w:lineRule="auto"/>
              <w:jc w:val="both"/>
            </w:pPr>
            <w:r>
              <w:rPr>
                <w:rFonts w:ascii="Arial" w:cs="Arial" w:eastAsia="Arial" w:hAnsi="Arial"/>
                <w:color w:val="1A1A1A"/>
                <w:sz w:val="16"/>
                <w:szCs w:val="16"/>
              </w:rPr>
              <w:t xml:space="preserve">Excluding fair-value gains net of deferred tax, audited distributable profit was CLP 369bn and ROE 9.7%, the highest of the three local peers on a comparable basis (Appendix 6). FFO, which we rebuild from the statements to within 0.02% of the reported CLP 405bn (Figure 2), held a 59–62% margin over 2022–2025 while net income swung more than fourfold. FFO excludes the UF indexation of debt (CLP 44bn, 11% of FFO); distributable profit includes it and is our conservative earnings anchor.</w:t>
            </w:r>
          </w:p>
          <w:p>
            <w:pPr>
              <w:spacing w:after="60" w:before="0" w:line="228" w:lineRule="auto"/>
              <w:jc w:val="both"/>
            </w:pPr>
            <w:r>
              <w:rPr>
                <w:rFonts w:ascii="Arial" w:cs="Arial" w:eastAsia="Arial" w:hAnsi="Arial"/>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p>
            <w:pPr>
              <w:keepNext/>
              <w:pBdr>
                <w:bottom w:val="single" w:color="E9004B" w:sz="8" w:space="1"/>
              </w:pBdr>
              <w:spacing w:after="50" w:before="90" w:line="228" w:lineRule="auto"/>
            </w:pPr>
            <w:r>
              <w:rPr>
                <w:rFonts w:ascii="Arial" w:cs="Arial" w:eastAsia="Arial" w:hAnsi="Arial"/>
                <w:b/>
                <w:bCs/>
                <w:color w:val="14284B"/>
                <w:sz w:val="16"/>
                <w:szCs w:val="16"/>
              </w:rPr>
              <w:t xml:space="preserve">Two-thirds of 2025 growth was bought; organic real growth is about 3%</w:t>
            </w:r>
          </w:p>
          <w:p>
            <w:pPr>
              <w:spacing w:after="60" w:before="0" w:line="228" w:lineRule="auto"/>
              <w:jc w:val="both"/>
            </w:pPr>
            <w:r>
              <w:rPr>
                <w:rFonts w:ascii="Arial" w:cs="Arial" w:eastAsia="Arial" w:hAnsi="Arial"/>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p>
            <w:pPr>
              <w:spacing w:after="60" w:before="0" w:line="228" w:lineRule="auto"/>
              <w:jc w:val="both"/>
            </w:pPr>
            <w:r>
              <w:rPr>
                <w:rFonts w:ascii="Arial" w:cs="Arial" w:eastAsia="Arial" w:hAnsi="Arial"/>
                <w:color w:val="1A1A1A"/>
                <w:sz w:val="16"/>
                <w:szCs w:val="16"/>
              </w:rPr>
              <w:t xml:space="preserve">Once currency and inflation are removed, 1H26 reported growth of 7.4% falls to about 3.0% real (Figure 3).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spacing w:after="60" w:before="0" w:line="228" w:lineRule="auto"/>
              <w:jc w:val="both"/>
            </w:pPr>
            <w:r>
              <w:rPr>
                <w:rFonts w:ascii="Arial" w:cs="Arial" w:eastAsia="Arial" w:hAnsi="Arial"/>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pBdr>
                <w:bottom w:val="single" w:color="E9004B" w:sz="8" w:space="1"/>
              </w:pBdr>
              <w:spacing w:after="50" w:before="90" w:line="228" w:lineRule="auto"/>
            </w:pPr>
            <w:r>
              <w:rPr>
                <w:rFonts w:ascii="Arial" w:cs="Arial" w:eastAsia="Arial" w:hAnsi="Arial"/>
                <w:b/>
                <w:bCs/>
                <w:color w:val="14284B"/>
                <w:sz w:val="16"/>
                <w:szCs w:val="16"/>
              </w:rPr>
              <w:t xml:space="preserve">Margin gains came from mix and cost recovery; operating leverage is spent</w:t>
            </w:r>
          </w:p>
          <w:p>
            <w:pPr>
              <w:spacing w:after="60" w:before="0" w:line="228" w:lineRule="auto"/>
              <w:jc w:val="both"/>
            </w:pPr>
            <w:r>
              <w:rPr>
                <w:rFonts w:ascii="Arial" w:cs="Arial" w:eastAsia="Arial" w:hAnsi="Arial"/>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p>
            <w:pPr>
              <w:spacing w:after="60" w:before="0" w:line="228" w:lineRule="auto"/>
              <w:jc w:val="both"/>
            </w:pPr>
            <w:r>
              <w:rPr>
                <w:rFonts w:ascii="Arial" w:cs="Arial" w:eastAsia="Arial" w:hAnsi="Arial"/>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1.1pp.</w:t>
            </w:r>
          </w:p>
          <w:p>
            <w:pPr>
              <w:spacing w:after="60" w:before="0" w:line="228" w:lineRule="auto"/>
              <w:jc w:val="both"/>
            </w:pPr>
            <w:r>
              <w:rPr>
                <w:rFonts w:ascii="Arial" w:cs="Arial" w:eastAsia="Arial" w:hAnsi="Arial"/>
                <w:color w:val="1A1A1A"/>
                <w:sz w:val="16"/>
                <w:szCs w:val="16"/>
              </w:rPr>
              <w:t xml:space="preserve">Operating costs have already fallen from 23.8% of revenue in 2023 to 20.1% in 2025 (Appendix 3), so there is little left for the margin to gain: from here, EBITDA grows with rents, not with efficiency.</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Removing fair-value gains and non-cash items turns CLP 1,441bn of profit into CLP 408bn of FFO (CLP bn)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p>
            <w:pPr>
              <w:spacing w:after="30" w:before="9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Two-thirds of 2025 growth was bought; in 1H26 currency and inflation explain more than half</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p>
            <w:pPr>
              <w:spacing w:after="30" w:before="9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Free cash flow covers dividends 1.5–2.6x even as capex rises (FY2025, CLP bn)</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Cash covers the dividend 2.6x; the ceiling is policy, not liquidity</w:t>
            </w:r>
          </w:p>
          <w:p>
            <w:pPr>
              <w:spacing w:after="60" w:before="0" w:line="228" w:lineRule="auto"/>
              <w:jc w:val="both"/>
            </w:pPr>
            <w:r>
              <w:rPr>
                <w:rFonts w:ascii="Arial" w:cs="Arial" w:eastAsia="Arial" w:hAnsi="Arial"/>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4).</w:t>
            </w:r>
          </w:p>
          <w:p>
            <w:pPr>
              <w:spacing w:after="60" w:before="0" w:line="228" w:lineRule="auto"/>
              <w:jc w:val="both"/>
            </w:pPr>
            <w:r>
              <w:rPr>
                <w:rFonts w:ascii="Arial" w:cs="Arial" w:eastAsia="Arial" w:hAnsi="Arial"/>
                <w:color w:val="1A1A1A"/>
                <w:sz w:val="16"/>
                <w:szCs w:val="16"/>
              </w:rPr>
              <w:t xml:space="preserve">The 38.6% jump in 1H26 operating cash flow is not earnings power: 59% of it was December collections unwinding through working capital. Receivable days fell from 66 to 50, with no sign of weaker collection.</w:t>
            </w:r>
          </w:p>
          <w:p>
            <w:pPr>
              <w:spacing w:after="60" w:before="0" w:line="228" w:lineRule="auto"/>
              <w:jc w:val="both"/>
            </w:pPr>
            <w:r>
              <w:rPr>
                <w:rFonts w:ascii="Arial" w:cs="Arial" w:eastAsia="Arial" w:hAnsi="Arial"/>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5).</w:t>
            </w:r>
          </w:p>
          <w:p>
            <w:pPr>
              <w:spacing w:after="60" w:before="0" w:line="228" w:lineRule="auto"/>
              <w:jc w:val="both"/>
            </w:pPr>
            <w:r>
              <w:rPr>
                <w:rFonts w:ascii="Arial" w:cs="Arial" w:eastAsia="Arial" w:hAnsi="Arial"/>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7).</w:t>
            </w:r>
          </w:p>
          <w:p>
            <w:pPr>
              <w:keepNext/>
              <w:pBdr>
                <w:bottom w:val="single" w:color="E9004B" w:sz="8" w:space="1"/>
              </w:pBdr>
              <w:spacing w:after="50" w:before="90" w:line="228" w:lineRule="auto"/>
            </w:pPr>
            <w:r>
              <w:rPr>
                <w:rFonts w:ascii="Arial" w:cs="Arial" w:eastAsia="Arial" w:hAnsi="Arial"/>
                <w:b/>
                <w:bCs/>
                <w:color w:val="14284B"/>
                <w:sz w:val="16"/>
                <w:szCs w:val="16"/>
              </w:rPr>
              <w:t xml:space="preserve">Cash-flow metrics earn the AAA; equity-based ratios flatter it</w:t>
            </w:r>
          </w:p>
          <w:p>
            <w:pPr>
              <w:spacing w:after="60" w:before="0" w:line="228" w:lineRule="auto"/>
              <w:jc w:val="both"/>
            </w:pPr>
            <w:r>
              <w:rPr>
                <w:rFonts w:ascii="Arial" w:cs="Arial" w:eastAsia="Arial" w:hAnsi="Arial"/>
                <w:color w:val="1A1A1A"/>
                <w:sz w:val="16"/>
                <w:szCs w:val="16"/>
              </w:rPr>
              <w:t xml:space="preserve">LTV fell from 26.9% to 18.8% in 2025, but 5.0pp of the 8.0pp drop came from revaluing the denominator; with property at 2024 value plus additions, LTV would have been 23.8% (Figure 5). Cash-flow metrics are the honest lens and support Feller Rate's upgrade to AAA (25 September 2026): net debt/EBITDA fell from 3.78x to 2.36x on June 2026 LTM EBITDA (the 2024 figure includes only one month of Peru), and EBITDA covers financial costs 8.4x.</w:t>
            </w:r>
          </w:p>
          <w:p>
            <w:pPr>
              <w:spacing w:after="60" w:before="0" w:line="228" w:lineRule="auto"/>
              <w:jc w:val="both"/>
            </w:pPr>
            <w:r>
              <w:rPr>
                <w:rFonts w:ascii="Arial" w:cs="Arial" w:eastAsia="Arial" w:hAnsi="Arial"/>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6); refinancing series S (1.32% effective) at the latest issue's 4.33% would add about CLP 4.9bn a year. Liquidity is ample: at June 2026 the current ratio was 2.50x and cash covered current liabilities 1.71x.</w:t>
            </w:r>
          </w:p>
          <w:p>
            <w:pPr>
              <w:spacing w:after="60" w:before="0" w:line="228" w:lineRule="auto"/>
              <w:jc w:val="both"/>
            </w:pPr>
            <w:r>
              <w:rPr>
                <w:rFonts w:ascii="Arial" w:cs="Arial" w:eastAsia="Arial" w:hAnsi="Arial"/>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5). At 3.5x the new AAA would likely come under pressure.</w:t>
            </w:r>
          </w:p>
          <w:p>
            <w:pPr>
              <w:spacing w:after="60" w:before="0" w:line="228" w:lineRule="auto"/>
              <w:jc w:val="both"/>
            </w:pPr>
            <w:r>
              <w:rPr>
                <w:rFonts w:ascii="Arial" w:cs="Arial" w:eastAsia="Arial" w:hAnsi="Arial"/>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2). Against peers the balance sheet is conservative: LTV of 18.8% versus 42.9% at Parque Arauco and 16.3% at Cencosud Shopping, and net debt/EBITDA of 2.49x versus 5.68x and 2.11x (Appendix 6).</w:t>
            </w:r>
          </w:p>
          <w:p>
            <w:pPr>
              <w:keepNext/>
              <w:pBdr>
                <w:bottom w:val="single" w:color="E9004B" w:sz="8" w:space="1"/>
              </w:pBdr>
              <w:spacing w:after="50" w:before="90" w:line="228" w:lineRule="auto"/>
            </w:pPr>
            <w:r>
              <w:rPr>
                <w:rFonts w:ascii="Arial" w:cs="Arial" w:eastAsia="Arial" w:hAnsi="Arial"/>
                <w:b/>
                <w:bCs/>
                <w:color w:val="14284B"/>
                <w:sz w:val="16"/>
                <w:szCs w:val="16"/>
              </w:rPr>
              <w:t xml:space="preserve">The forecast carries forward what history supports, including the pace of expansion</w:t>
            </w:r>
          </w:p>
          <w:p>
            <w:pPr>
              <w:spacing w:after="60" w:before="0" w:line="228" w:lineRule="auto"/>
              <w:jc w:val="both"/>
            </w:pPr>
            <w:r>
              <w:rPr>
                <w:rFonts w:ascii="Arial" w:cs="Arial" w:eastAsia="Arial" w:hAnsi="Arial"/>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7);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1). New GLA yields 6.9% on cost, a 5.0% real return after tax against a 7.2% real WACC: expansion adds revenue but not value.</w:t>
            </w:r>
          </w:p>
          <w:p>
            <w:pPr>
              <w:keepNext/>
              <w:pBdr>
                <w:bottom w:val="single" w:color="E9004B" w:sz="8" w:space="1"/>
              </w:pBdr>
              <w:spacing w:after="50" w:before="90" w:line="228" w:lineRule="auto"/>
            </w:pPr>
            <w:r>
              <w:rPr>
                <w:rFonts w:ascii="Arial" w:cs="Arial" w:eastAsia="Arial" w:hAnsi="Arial"/>
                <w:b/>
                <w:bCs/>
                <w:color w:val="14284B"/>
                <w:sz w:val="16"/>
                <w:szCs w:val="16"/>
              </w:rPr>
              <w:t xml:space="preserve">What this means for valuation</w:t>
            </w:r>
          </w:p>
          <w:p>
            <w:pPr>
              <w:spacing w:after="60" w:before="0" w:line="228" w:lineRule="auto"/>
              <w:jc w:val="both"/>
            </w:pPr>
            <w:r>
              <w:rPr>
                <w:rFonts w:ascii="Arial" w:cs="Arial" w:eastAsia="Arial" w:hAnsi="Arial"/>
                <w:color w:val="1A1A1A"/>
                <w:sz w:val="16"/>
                <w:szCs w:val="16"/>
              </w:rPr>
              <w:t xml:space="preserve">The analysis leaves three conclusions for the model. First, the right earnings base is cash: we use the company's EBITDA, which removes revaluation once (Appendix 4), and distributable profit as the anchor, not the CLP 1,431bn accounting profit. Second, business quality is not in doubt: Mallplaza earns the highest normalized ROE of its local peers (9.7% against 7.8% at Parque Arauco and 8.0% at Cencosud Shopping) with an LTV of only 18.8% (Appendix 6).</w:t>
            </w:r>
          </w:p>
          <w:p>
            <w:pPr>
              <w:spacing w:after="60" w:before="0" w:line="228" w:lineRule="auto"/>
              <w:jc w:val="both"/>
            </w:pPr>
            <w:r>
              <w:rPr>
                <w:rFonts w:ascii="Arial" w:cs="Arial" w:eastAsia="Arial" w:hAnsi="Arial"/>
                <w:color w:val="1A1A1A"/>
                <w:sz w:val="16"/>
                <w:szCs w:val="16"/>
              </w:rPr>
              <w:t xml:space="preserve">Third, the return on capital at fair value is low. 2025 ROIC, with NOPAT at 27% over invested capital at appraised value, was 7.3% (Appendix 3),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Two-thirds of the 2025 fall in LTV is revaluation, not deleveraging</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p>
            <w:pPr>
              <w:spacing w:after="30" w:before="9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Refinancing risk sits in 2029, 2031 and 2033, not in the near term</w:t>
            </w:r>
          </w:p>
          <w:p>
            <w:pPr>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20097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p>
            <w:pPr>
              <w:spacing w:after="30" w:before="9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After the pipeline, expansion keeps capex near CLP 150bn a year while leverage rebuilds to 3.5x</w:t>
            </w:r>
          </w:p>
          <w:p>
            <w:pPr>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26955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2026E includes CLP 84.2bn spent in 1H26; 2024A leverage includes one month of Peru EBITDA. Source: Plaza S.A. financial statements (CMF); 2Q26 results release (pipeline); valuation base case (Appendices 1 and 5).</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Driver</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Tag</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2026E anchor</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1H26 actual + 2H26E repeating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Interim FS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Inflation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Leases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Real same-store growth (ex-parking)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Midpoints of company appraisal ranges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Occupancy</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96.1%, Colombia 97.5% flat;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actual; Peru back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Pipeline GLA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8,900 m² (2026), 72,950 m² (2027), 41,850 m² (2028); ramp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release, projects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Post-2028 expansion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27,075 m² a year opening from 2029E (55% Chile / 45% Peru); USD 3,603/m² indexed to CPI, spent 50% in t−2 and 50% in t−1; 80.9% EBITDA margin; 6.9% yield on cost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Average organic GLA 2022, 2023, 2025; pipeline cost per 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FX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Consensus year-end 2026–28; purchasing-power parity thereafter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Bloomberg ECFC, 5 Oct 2026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EBITDA margin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0.70% of revenue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LTM 2Q26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Cash tax rate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1H26 current tax; shields run off</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Project capex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USD 445m remaining at Jun-26, spread to final opening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release,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Maintenance + IT capex</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5.5% of revenue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Working capital</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FS Dec-25, first year-end with full Peru</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Leverage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Net debt / EBITDA 2.36x (Jun-26) → 3.5x by Dec-31E, linear; cash above the plan returned via buybacks or special dividends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Cost of debt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Net financial cost 3.08% of opening net debt + 25bp real per turn of leverage above 2.36x; UF indexation on 79% of debt</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Excluded</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Greenfield (USD 0.7m LTM vs 55.2m in 2023), Gran Plaza; undated Chile projects replaced by the post-2028 expansion</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No date or immaterial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40% of distributable profit, one-year lag, plus the additional distributions above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bl>
          <w:p>
            <w:pPr>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results release; Bloomberg ECFC;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LTM 2Q26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677.3</w:t>
                  </w:r>
                </w:p>
              </w:tc>
            </w:tr>
            <w:tr>
              <w:trPr>
                <w:cantSplit/>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Fair-value gains &amp;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1,190.4</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income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1,730.6</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(44.9)</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(50.4)</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Net income attributable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1,258.1</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attributable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Balance sheet</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Dec-23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Dec-24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Dec-25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Cash and equivalents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347.6</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7,309.8</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Total assets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7,985.7</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Gross financial debt</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1,633.4</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Deferred tax liabilities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1,313.7</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Equity attributable to owners</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1H26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258.2</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(84.2)</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Equity issued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(30.1)</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(87.6)</w:t>
                  </w:r>
                </w:p>
              </w:tc>
            </w:tr>
          </w:tbl>
          <w:p>
            <w:pPr>
              <w:spacing w:after="0" w:before="10" w:line="216" w:lineRule="auto"/>
              <w:jc w:val="both"/>
            </w:pPr>
            <w:r>
              <w:rPr>
                <w:rFonts w:ascii="Arial" w:cs="Arial" w:eastAsia="Arial" w:hAnsi="Arial"/>
                <w:color w:val="5F5F5F"/>
                <w:sz w:val="11"/>
                <w:szCs w:val="11"/>
              </w:rPr>
              <w:t xml:space="preserve">LTM = FY2025 − 1H25 + 1H26. 2024 as restated in Dec-25; 2022A from restated Dec-23 statements; 2022 financing lines not in the files used. Source: Plaza S.A. financial statements (CMF) Dec-24, Dec-25, Jun-26.</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3: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ROIC (NOPAT at 27%, IC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2.50</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0.64</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 (net debt / inv. property)</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17.6%</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costs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21.2%</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Receivable days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bl>
          <w:p>
            <w:pPr>
              <w:spacing w:after="0" w:before="10" w:line="216" w:lineRule="auto"/>
              <w:jc w:val="both"/>
            </w:pPr>
            <w:r>
              <w:rPr>
                <w:rFonts w:ascii="Arial" w:cs="Arial" w:eastAsia="Arial" w:hAnsi="Arial"/>
                <w:color w:val="5F5F5F"/>
                <w:sz w:val="11"/>
                <w:szCs w:val="11"/>
              </w:rPr>
              <w:t xml:space="preserve">Jun-26 leverage on LTM EBITDA; operating costs = cost of sales + admin (1H26). Dec-24 receivable days n.m. (Peru consolidated one month). Jun-26 returns need the Jun-25 balance sheet. Source: Plaza S.A. financial statements (CMF); MD&amp;A 1H26; Team analysis.</w:t>
            </w:r>
          </w:p>
          <w:p>
            <w:pPr>
              <w:spacing w:after="30" w:before="100" w:line="228" w:lineRule="auto"/>
            </w:pPr>
            <w:r>
              <w:rPr>
                <w:rFonts w:ascii="Arial" w:cs="Arial" w:eastAsia="Arial" w:hAnsi="Arial"/>
                <w:b/>
                <w:bCs/>
                <w:color w:val="14284B"/>
                <w:sz w:val="14"/>
                <w:szCs w:val="14"/>
              </w:rPr>
              <w:t xml:space="preserve">Appendix 4: </w:t>
            </w:r>
            <w:r>
              <w:rPr>
                <w:rFonts w:ascii="Arial" w:cs="Arial" w:eastAsia="Arial" w:hAnsi="Arial"/>
                <w:color w:val="14284B"/>
                <w:sz w:val="14"/>
                <w:szCs w:val="14"/>
              </w:rPr>
              <w:t xml:space="preserve">The EBITDA we use is the company's: fair-value gains are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LTM 2Q26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income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1,735.4</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Other op. income (mostly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(1,194.5)</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adjusted</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r>
          </w:tbl>
          <w:p>
            <w:pPr>
              <w:spacing w:after="0" w:before="10" w:line="216" w:lineRule="auto"/>
              <w:jc w:val="both"/>
            </w:pPr>
            <w:r>
              <w:rPr>
                <w:rFonts w:ascii="Arial" w:cs="Arial" w:eastAsia="Arial" w:hAnsi="Arial"/>
                <w:color w:val="5F5F5F"/>
                <w:sz w:val="11"/>
                <w:szCs w:val="11"/>
              </w:rPr>
              <w:t xml:space="preserve">Bloomberg's EBITDA field includes fair-value gains and is not used. Source: Plaza S.A. financial statements (CMF), Notes 23.1–23.3; 2Q26 release;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5: </w:t>
            </w:r>
            <w:r>
              <w:rPr>
                <w:rFonts w:ascii="Arial" w:cs="Arial" w:eastAsia="Arial" w:hAnsi="Arial"/>
                <w:color w:val="14284B"/>
                <w:sz w:val="14"/>
                <w:szCs w:val="14"/>
              </w:rPr>
              <w:t xml:space="preserve">Base-case projection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bn</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2031E</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652.8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Peru</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184.9</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Eliminations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post-2028 expansion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w:t>
                  </w:r>
                </w:p>
              </w:tc>
            </w:tr>
            <w:tr>
              <w:trPr>
                <w:cantSplit/>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Revenue</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961.3</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Growth</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r>
              <w:trPr>
                <w:cantSplit/>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766.9</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margin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760.1</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Cash tax rate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pipeline + maintenance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(51.7)</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post-2028 expansion</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(104.2)</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Δ working capital</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r>
            <w:tr>
              <w:trPr>
                <w:cantSplit/>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501.6</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Distributable profit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444.6</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Ordinary dividends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(172.6)</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Additional distributions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(404.8)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debt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r>
          </w:tbl>
          <w:p>
            <w:pPr>
              <w:spacing w:after="0" w:before="10" w:line="216" w:lineRule="auto"/>
              <w:jc w:val="both"/>
            </w:pPr>
            <w:r>
              <w:rPr>
                <w:rFonts w:ascii="Arial" w:cs="Arial" w:eastAsia="Arial" w:hAnsi="Arial"/>
                <w:color w:val="5F5F5F"/>
                <w:sz w:val="11"/>
                <w:szCs w:val="11"/>
              </w:rPr>
              <w:t xml:space="preserve">2026E = 1H26 actual + 2H26E; capex includes CLP 84.2bn spent in 1H26; Δ working capital and additional distributions cover 2H26E only. FFO = (EBITDA − net financial cost) × (1 − cash tax), before minorities (~1%); distributable profit = FFO − UF indexation. Source: valuation workbook v2 (DCF, Deuda and Expansion sheets); Team analysis.</w:t>
            </w:r>
          </w:p>
          <w:p>
            <w:pPr>
              <w:spacing w:after="30" w:before="100" w:line="228" w:lineRule="auto"/>
            </w:pPr>
            <w:r>
              <w:rPr>
                <w:rFonts w:ascii="Arial" w:cs="Arial" w:eastAsia="Arial" w:hAnsi="Arial"/>
                <w:b/>
                <w:bCs/>
                <w:color w:val="14284B"/>
                <w:sz w:val="14"/>
                <w:szCs w:val="14"/>
              </w:rPr>
              <w:t xml:space="preserve">Appendix 6: </w:t>
            </w:r>
            <w:r>
              <w:rPr>
                <w:rFonts w:ascii="Arial" w:cs="Arial" w:eastAsia="Arial" w:hAnsi="Arial"/>
                <w:color w:val="14284B"/>
                <w:sz w:val="14"/>
                <w:szCs w:val="14"/>
              </w:rPr>
              <w:t xml:space="preserve">Like-for-like, Mallplaza earns the highest normalized ROE of its local peers (FY2025)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Cencosud Shopping</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Fair-value gain / opening property</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investment property</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7.8%</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reported</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10.5%</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8.0%</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debt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2.11</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Assets / equity attributable, YE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w:t>
                  </w:r>
                </w:p>
              </w:tc>
            </w:tr>
          </w:tbl>
          <w:p>
            <w:pPr>
              <w:spacing w:after="0" w:before="10" w:line="216" w:lineRule="auto"/>
              <w:jc w:val="both"/>
            </w:pPr>
            <w:r>
              <w:rPr>
                <w:rFonts w:ascii="Arial" w:cs="Arial" w:eastAsia="Arial" w:hAnsi="Arial"/>
                <w:color w:val="5F5F5F"/>
                <w:sz w:val="11"/>
                <w:szCs w:val="11"/>
              </w:rPr>
              <w:t xml:space="preserve">Mallplaza normalized on audited distributable profit; peers on net income − fair-value gains × (1 − 27%). Parque Arauco property excludes JVs, overstating its LTV. Source: Plaza S.A. financial statements (CMF); Bloomberg FA as-reported (PARAUCO CI, CENCOMAL CI; export 28 Sep 2026); Team analysis.</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34cf5efedec970dddabf7ad7f0397fa946dde7af.png"/><Relationship Id="rId12" Type="http://schemas.openxmlformats.org/officeDocument/2006/relationships/image" Target="media/67d3af205c0720abae927a295402b8173067a71d.png"/><Relationship Id="rId13" Type="http://schemas.openxmlformats.org/officeDocument/2006/relationships/image" Target="media/0ecdedf336d9450fef0f4340e7d2f3445bf5d5ea.png"/><Relationship Id="rId14" Type="http://schemas.openxmlformats.org/officeDocument/2006/relationships/image" Target="media/0e8de6046ea8cf465c51ece1e2db1d0fdb7f5b9e.png"/><Relationship Id="rId15" Type="http://schemas.openxmlformats.org/officeDocument/2006/relationships/image" Target="media/fbaa45cc822c3cf6d5ceb7547cdd01441f6bb8f4.png"/><Relationship Id="rId16" Type="http://schemas.openxmlformats.org/officeDocument/2006/relationships/image" Target="media/100e719272ccd251c35d82999c2cbfdfab008b9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2026-10-14T14:14:56.033Z</dcterms:created>
  <dcterms:modified xsi:type="dcterms:W3CDTF">2026-10-14T14:14:56.033Z</dcterms:modified>
</cp:coreProperties>
</file>

<file path=docProps/custom.xml><?xml version="1.0" encoding="utf-8"?>
<Properties xmlns="http://schemas.openxmlformats.org/officeDocument/2006/custom-properties" xmlns:vt="http://schemas.openxmlformats.org/officeDocument/2006/docPropsVTypes"/>
</file>