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AMBIENTAL, SOCIAL Y GOBIERNO CORPORATIVO (ESG)</w:t>
      </w:r>
    </w:p>
    <w:p>
      <w:pPr>
        <w:shd w:fill="EEF1F6" w:color="auto" w:val="clear"/>
        <w:spacing w:after="80" w:line="228" w:lineRule="auto"/>
        <w:jc w:val="both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El enfoque ESG de Plaza es transversal a todas sus decisiones: busca desarrollar su modelo de negocios respetando los parámetros ESG y contribuir a un desarrollo sostenible, lo que además le abre beneficios financieros externos y de su propia operación. Bloomberg califica a la compañía con 3,39 puntos (Figura E1), bajo la media de la industria a nivel global (5–6 puntos) y de su competencia directa en Chile; esto contrasta con su perfil “verde” local, donde figura entre las principales empresas inmobiliarias (REM) de la región.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Beneficios financieros potenciales: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el sistema de gestión de la energía (SGE) certificado bajo la ISO 50001 mejora el desempeño energético y reduce los costos operativos. Los beneficios externos dependen de su imagen ESG: en Chile, la Ley I+D (CORFO) permite descontar del impuesto de primera categoría el 35% de lo invertido en investigación y desarrollo (hasta 52,55% del total, sumando el gasto); en Perú, el reconocimiento de “Huella Perú” (2 de 4 estrellas) facilita la obtención de permisos y licencias; y en Colombia, la Ley 2099 de 2021 permite descontar de la renta las inversiones en control, conservación y mejoramiento del medio ambiente.</w:t>
            </w:r>
          </w:p>
          <w:p>
            <w:pPr>
              <w:pBdr>
                <w:bottom w:val="single" w:color="E9004B" w:sz="8" w:space="1"/>
              </w:pBdr>
              <w:spacing w:after="50" w:before="11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AMBIENTAL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enfoque de Plaza es una gestión operativa eficiente, sustentable y circular, con tres focos estratégicos: eficiencia energética e hídrica, huella de carbono y gestión de residuos. Su principal objetivo es la carbono neutralidad, con la meta de ser Net Zero en emisiones directas e indirectas al 2035 (65,6% de avance en 2025).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Índices de sostenibilidad: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la compañía está en el DJSI Chile y el DJSI MILA, y es la única empresa inmobiliaria (REM) de Sudamérica en el MSCI ESG, con clasificación “BBB”, lo que le da exposición a ETFs. Además, forma parte del S&amp;P Global Sustainability Yearbook y Morningstar Sustainalytics le asigna un riesgo ESG de 14,4 (bajo) (Figura E1).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Energía: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la meta es reducir 22% la intensidad energética del gasto común al 2035 (35,5% de avance) y abastecerse con 100% de electricidad renovable al 2026 (89,3% de avance) (Figura E2). En 2025 la energía renovable representó el 90,9% del consumo total de 373.860 MWh (Figura E3), con una intensidad de 0,16 MWh/m² de GLA (0,14 renovable y 0,014 no renovable).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Agua: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la meta de reducir 30% el consumo directo de agua al 2025 se cumplió en 100,9%, apoyada por las certificaciones LEED y EDGE. En 2025 la intensidad fue de 0,77 m³/m² de GLA.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HCFC: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busca eliminar el 100% de su uso al 2030 (14,9% de avance), clave para la gestión de emisiones de gases de efecto invernadero, ámbito en el que Bloomberg reconoce a Plaza como líder de la industria global.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Residuos: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la meta de valorizar el 60% de los residuos al 2025 registra un avance de 94,8%; además, busca desviar de los vertederos el 75% de los residuos sólidos al 2027 y ya eliminó el 97% de los plásticos de un solo uso de la operación. En 2025 valorizó el 46,2% de sus residuos no peligrosos (Figura E3).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Gestión climática: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Plaza adopta las recomendaciones TCFD para integrar los riesgos físicos y de transición, realiza un due diligence ambiental en la adquisición de activos y opera bajo un programa de cumplimiento ambiental alineado con la ISO 14001, monitoreado por el comité de sustentabilidad.</w:t>
            </w:r>
          </w:p>
          <w:p>
            <w:pPr>
              <w:pBdr>
                <w:bottom w:val="single" w:color="E9004B" w:sz="8" w:space="1"/>
              </w:pBdr>
              <w:spacing w:after="50" w:before="11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SOCIAL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La compañía aborda el ámbito social con un modelo de relación ética de largo plazo, basado en la creación de valor compartido, que pone a sus grupos de interés en el centro de su estrategia, alineado con la ISO 45001 y las directrices de la OIT. En 2025 incorporó un programa de detección y respuesta ante riesgos de su política de derechos humanos. Gestiona a sus grupos de interés con mecanismos como diálogos comunitarios y evaluaciones de materialidad (Anexo [Y]) y atiende cualquier incidencia social a través de su canal de integridad. Cadem la ubicó en el puesto 31 de 365 “Marcas Ciudadanas” y ganadora de la categoría Centros Comerciales (2026). En 2025 sus programas y proyectos impactaron positivamente a 49.325 personas (Figura E4).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Colaboradores y proveedores: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capacita a sus trabajadores, ofrece programas para quienes se acercan a la jubilación y evalúa a sus proveedores con criterios de sostenibilidad (55,3% de los proveedores locales y 38,4% de los extranjeros).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Arrendatarios: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gestiona la relación con sus locatarios mediante un modelo de relacionamiento centrado en la propuesta de valor y la experiencia; el NPS pasó de −8% en 2022 a 13% en 2025 (Figura E4).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Seguridad y privacidad: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cada centro cuenta con manuales de emergencia adaptados a su contexto geográfico y en 2025 realizó 52 simulacros con la comunidad. Implementó la ISO/IEC 27001 para proteger la confidencialidad, integridad y disponibilidad de la información ante riesgos cibernéticos.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Diversidad: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las mujeres representan el 53% de la fuerza laboral (403 personas) y el 42% de los cargos directivos (44), con una brecha salarial media de 28% a nivel regional. La meta al 2028 es que el 60% de los centros esté certificado como espacio inclusivo, y Plaza obtuvo el “Sello Mayor”, que certifica su adaptación física y operacional para personas mayores.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E1: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Puntaje ESG de Bloomberg y ratings externos</w:t>
            </w:r>
          </w:p>
          <w:p>
            <w:pPr>
              <w:spacing w:after="20" w:before="0"/>
            </w:pPr>
            <w:r>
              <w:drawing>
                <wp:inline distT="0" distB="0" distL="0" distR="0">
                  <wp:extent cx="2257425" cy="1828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Fuente: Bloomberg (puntaje ESG); MSCI, Morningstar Sustainalytics, S&amp;P Global, Huella Perú; Memoria Mallplaza 2025.</w:t>
            </w:r>
          </w:p>
          <w:p>
            <w:pPr>
              <w:spacing w:after="30" w:before="11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E2: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Metas ambientales: avance a 2025</w:t>
            </w:r>
          </w:p>
          <w:p>
            <w:pPr>
              <w:spacing w:after="20" w:before="0"/>
            </w:pPr>
            <w:r>
              <w:drawing>
                <wp:inline distT="0" distB="0" distL="0" distR="0">
                  <wp:extent cx="2257425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Fuente: Memoria Mallplaza 2025.</w:t>
            </w:r>
          </w:p>
          <w:p>
            <w:pPr>
              <w:spacing w:after="30" w:before="11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E3: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Energía renovable y valorización de residuos, 2025</w:t>
            </w:r>
          </w:p>
          <w:p>
            <w:pPr>
              <w:spacing w:after="20" w:before="0"/>
            </w:pPr>
            <w:r>
              <w:drawing>
                <wp:inline distT="0" distB="0" distL="0" distR="0">
                  <wp:extent cx="2257425" cy="1647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Valorización: porcentaje sobre los residuos no peligrosos; el desglose suma 100% de lo valorizado. Fuente: Memoria Mallplaza 2025.</w:t>
            </w:r>
          </w:p>
          <w:p>
            <w:pPr>
              <w:spacing w:after="30" w:before="11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E4: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Indicadores sociales</w:t>
            </w:r>
          </w:p>
          <w:p>
            <w:pPr>
              <w:spacing w:after="20" w:before="0"/>
            </w:pPr>
            <w:r>
              <w:drawing>
                <wp:inline distT="0" distB="0" distL="0" distR="0">
                  <wp:extent cx="2257425" cy="1552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NPS = % de promotores (notas 9–10) menos % de detractores (0–6). Fuente: Memoria Mallplaza 2025.</w:t>
            </w:r>
          </w:p>
        </w:tc>
      </w:tr>
    </w:tbl>
    <w:p>
      <w:pPr>
        <w:pageBreakBefore/>
        <w:spacing w:after="0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2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GOBIERNO CORPORATIVO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gobierno corporativo se rige por los principios del G20 y de la OCDE, alineado con la NCG 461 de la CMF, para asegurar una gestión transparente, con control de riesgos y una estructura sólida que dé seguimiento a la estrategia y a los compromisos ESG.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Directorio y comités: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el Directorio, de 9 miembros, define los objetivos, estrategias y políticas de Plaza, pero solo uno es independiente (Figura E5). El comité de directores, de tres miembros y presidido por el director independiente, revisa las operaciones con partes relacionadas (Ley 18.046). Falabella controla el 53,05% de la propiedad y los fondos de pensiones suman 23,8% (Anexo [Y]). La baja independencia del Directorio es el principal punto débil de gobierno (RR1, Investment Risks).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Incentivos ESG: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los KPIs ESG se miden anualmente y forman parte de la remuneración variable del Gerente General, gerentes y subgerentes. Los indicadores no financieros pesan 61% (33,3% vinculado directamente a materias ESG y 27,7% a otros temas) y los financieros 39% (Figura E5).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Ética y cumplimiento: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en 2025 no registró incumplimientos de la legislación ni casos de corrupción. Registró 27 incumplimientos de derechos del consumidor (Ley 19.496), 2 de derechos laborales, 1 procedimiento de la Superintendencia del Medio Ambiente y 8 denuncias de acoso o violencia en el trabajo (Anexo [Y]).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E5: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Incentivos ESG y composición del Directorio</w:t>
            </w:r>
          </w:p>
          <w:p>
            <w:pPr>
              <w:spacing w:after="20" w:before="0"/>
            </w:pPr>
            <w:r>
              <w:drawing>
                <wp:inline distT="0" distB="0" distL="0" distR="0">
                  <wp:extent cx="2257425" cy="1552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Fuente: Memoria Mallplaza 2025.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000" w:right="620" w:bottom="900" w:left="620" w:header="450" w:footer="400" w:gutter="0"/>
          <w:pgNumType/>
          <w:docGrid w:linePitch="360"/>
        </w:sectPr>
      </w:pPr>
    </w:p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ANEXO [Y]: GOBIERNO CORPORATIVO Y SOSTENIBILIDAD</w:t>
      </w:r>
    </w:p>
    <w:p>
      <w:pPr>
        <w:shd w:fill="EEF1F6" w:color="auto" w:val="clear"/>
        <w:spacing w:after="80" w:line="228" w:lineRule="auto"/>
        <w:jc w:val="both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Información de respaldo de la sección ESG: estructura de propiedad, Directorio, cumplimiento, modelo de relacionamiento con grupos de interés, cultura organizacional y residuos. Fuente principal: Memoria Mallplaza 2025.</w:t>
      </w:r>
    </w:p>
    <w:p>
      <w:pPr>
        <w:pBdr>
          <w:bottom w:val="single" w:color="E9004B" w:sz="8" w:space="1"/>
        </w:pBdr>
        <w:spacing w:after="50" w:before="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1. ESTRUCTURA DE PROPIEDAD (31-12-2025)</w:t>
      </w:r>
    </w:p>
    <w:p>
      <w:pPr>
        <w:spacing w:after="30" w:before="20" w:line="228" w:lineRule="auto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Figura S1: </w:t>
      </w:r>
      <w:r>
        <w:rPr>
          <w:rFonts w:ascii="Arial" w:cs="Arial" w:eastAsia="Arial" w:hAnsi="Arial"/>
          <w:color w:val="14284B"/>
          <w:sz w:val="14"/>
          <w:szCs w:val="14"/>
        </w:rPr>
        <w:t xml:space="preserve">Participación por tipo de accionista</w:t>
      </w:r>
    </w:p>
    <w:p>
      <w:pPr>
        <w:spacing w:after="20" w:before="0"/>
      </w:pPr>
      <w:r>
        <w:drawing>
          <wp:inline distT="0" distB="0" distL="0" distR="0">
            <wp:extent cx="6772275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Fuente: Memoria Mallplaza 2025 (NCG 461 2.3.3). No hay ADRs ni certificados emitidos en el extranjero.</w:t>
      </w:r>
    </w:p>
    <w:p>
      <w:pPr>
        <w:spacing w:before="80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66"/>
        <w:gridCol w:w="2200"/>
        <w:gridCol w:w="2200"/>
      </w:tblGrid>
      <w:tr>
        <w:trPr>
          <w:tblHeader/>
        </w:trPr>
        <w:tc>
          <w:tcPr>
            <w:tcW w:type="dxa" w:w="6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Diez mayores accionistas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Acciones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% de acciones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Desarrollos Inmobiliarios SpA (Falabella)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1.161.849.244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53,05%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Inversiones Avenida Borgoño Limitada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197.439.955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9,02%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Banchile Corredores de Bolsa S.A.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59.447.149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2,71%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BCI Corredor de Bolsa S.A.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53.553.765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2,45%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AFP Habitat S.A. para Fondo de Pensión 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50.733.976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2,32%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Bolsa de Comercio de Santiago, Bolsa de Valores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41.532.310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1,90%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AFP Provida S.A. para Fondo de Pensión 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37.746.440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1,72%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Banco Santander por cuenta de inversión extranjera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35.594.345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1,63%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AFP Capital S.A. Fondo de Pensión tipo 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34.539.038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1,58%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AFP Habitat S.A. Fondo de Pensión tipo 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30.039.097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1,37%</w:t>
            </w:r>
          </w:p>
        </w:tc>
      </w:tr>
    </w:tbl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2. DIRECTORIO (ELEGIDO EL 22-04-2025)</w:t>
      </w:r>
    </w:p>
    <w:p>
      <w:pPr>
        <w:spacing w:after="30" w:before="20" w:line="228" w:lineRule="auto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Figura S2: </w:t>
      </w:r>
      <w:r>
        <w:rPr>
          <w:rFonts w:ascii="Arial" w:cs="Arial" w:eastAsia="Arial" w:hAnsi="Arial"/>
          <w:color w:val="14284B"/>
          <w:sz w:val="14"/>
          <w:szCs w:val="14"/>
        </w:rPr>
        <w:t xml:space="preserve">Miembros del Directorio (rojo: director independiente; azul: presidente)</w:t>
      </w:r>
    </w:p>
    <w:p>
      <w:pPr>
        <w:spacing w:after="20" w:before="0"/>
      </w:pPr>
      <w:r>
        <w:drawing>
          <wp:inline distT="0" distB="0" distL="0" distR="0">
            <wp:extent cx="6772275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9 miembros titulares, sin suplentes; un director independiente. Cada director tiene como máximo cuatro cargos en otras sociedades que cotizan en bolsa. Tomás Müller, Manuela Sánchez y Juan Pablo Montero fueron directores hasta el 22-04-2025. Fuente: Memoria Mallplaza 2025.</w:t>
      </w:r>
    </w:p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3. ÉTICA Y CUMPLIMIENTO, 2025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666"/>
        <w:gridCol w:w="2000"/>
      </w:tblGrid>
      <w:tr>
        <w:trPr>
          <w:tblHeader/>
        </w:trPr>
        <w:tc>
          <w:tcPr>
            <w:tcW w:type="dxa" w:w="8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Materia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Casos</w:t>
            </w:r>
          </w:p>
        </w:tc>
      </w:tr>
      <w:t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Incumplimientos de la legislación y normativas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Corrupción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Incumplimientos de derechos de los clientes (Ley 19.496 de Protección de los Derechos del Consumidor)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27</w:t>
            </w:r>
          </w:p>
        </w:tc>
      </w:tr>
      <w:t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Incumplimientos de derechos de los trabajadores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</w:t>
            </w:r>
          </w:p>
        </w:tc>
      </w:tr>
      <w:t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Procedimientos de la Superintendencia del Medio Ambiente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Denuncias de acoso laboral, sexual y de violencia en el trabajo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8</w:t>
            </w:r>
          </w:p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Fuente: Memoria Mallplaza 2025.</w:t>
      </w:r>
    </w:p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4. MODELO DE RELACIONAMIENTO CON GRUPOS DE INTERÉS</w:t>
      </w:r>
    </w:p>
    <w:p>
      <w:pPr>
        <w:spacing w:after="30" w:before="20" w:line="228" w:lineRule="auto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Figura S3: </w:t>
      </w:r>
      <w:r>
        <w:rPr>
          <w:rFonts w:ascii="Arial" w:cs="Arial" w:eastAsia="Arial" w:hAnsi="Arial"/>
          <w:color w:val="14284B"/>
          <w:sz w:val="14"/>
          <w:szCs w:val="14"/>
        </w:rPr>
        <w:t xml:space="preserve">Proceso de implementación del modelo de relacionamiento</w:t>
      </w:r>
    </w:p>
    <w:p>
      <w:pPr>
        <w:spacing w:after="20" w:before="0"/>
      </w:pPr>
      <w:r>
        <w:drawing>
          <wp:inline distT="0" distB="0" distL="0" distR="0">
            <wp:extent cx="6772275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Fuente: Memoria Mallplaza 2025.</w:t>
      </w:r>
    </w:p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5. CULTURA ORGANIZACIONAL: ENCUESTA DE CULTURA 2025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76"/>
        <w:gridCol w:w="120"/>
        <w:gridCol w:w="2576"/>
        <w:gridCol w:w="120"/>
        <w:gridCol w:w="2576"/>
        <w:gridCol w:w="120"/>
        <w:gridCol w:w="2578"/>
      </w:tblGrid>
      <w:tr>
        <w:tc>
          <w:tcPr>
            <w:tcW w:type="dxa" w:w="2576"/>
            <w:tcBorders>
              <w:top w:val="single" w:color="E9004B" w:sz="18"/>
              <w:left w:val="none" w:color="FFFFFF" w:sz="0"/>
              <w:bottom w:val="none" w:color="FFFFFF" w:sz="0"/>
              <w:right w:val="none" w:color="FFFFFF" w:sz="0"/>
            </w:tcBorders>
            <w:shd w:fill="EEF1F6" w:color="auto" w:val="clear"/>
            <w:tcMar>
              <w:top w:type="dxa" w:w="70"/>
              <w:left w:type="dxa" w:w="120"/>
              <w:bottom w:type="dxa" w:w="70"/>
              <w:right w:type="dxa" w:w="9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E9004B"/>
                <w:sz w:val="30"/>
                <w:szCs w:val="30"/>
              </w:rPr>
              <w:t xml:space="preserve">75%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Engagement</w:t>
            </w:r>
          </w:p>
          <w:p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−2 pp vs 2024 · meta 2025: 80%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576"/>
            <w:tcBorders>
              <w:top w:val="single" w:color="14284B" w:sz="18"/>
              <w:left w:val="none" w:color="FFFFFF" w:sz="0"/>
              <w:bottom w:val="none" w:color="FFFFFF" w:sz="0"/>
              <w:right w:val="none" w:color="FFFFFF" w:sz="0"/>
            </w:tcBorders>
            <w:shd w:fill="EEF1F6" w:color="auto" w:val="clear"/>
            <w:tcMar>
              <w:top w:type="dxa" w:w="70"/>
              <w:left w:type="dxa" w:w="120"/>
              <w:bottom w:type="dxa" w:w="70"/>
              <w:right w:type="dxa" w:w="9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30"/>
                <w:szCs w:val="30"/>
              </w:rPr>
              <w:t xml:space="preserve">37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eNPS</w:t>
            </w:r>
          </w:p>
          <w:p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−10 vs 2024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576"/>
            <w:tcBorders>
              <w:top w:val="single" w:color="14284B" w:sz="18"/>
              <w:left w:val="none" w:color="FFFFFF" w:sz="0"/>
              <w:bottom w:val="none" w:color="FFFFFF" w:sz="0"/>
              <w:right w:val="none" w:color="FFFFFF" w:sz="0"/>
            </w:tcBorders>
            <w:shd w:fill="EEF1F6" w:color="auto" w:val="clear"/>
            <w:tcMar>
              <w:top w:type="dxa" w:w="70"/>
              <w:left w:type="dxa" w:w="120"/>
              <w:bottom w:type="dxa" w:w="70"/>
              <w:right w:type="dxa" w:w="9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30"/>
                <w:szCs w:val="30"/>
              </w:rPr>
              <w:t xml:space="preserve">88%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Liderazgo</w:t>
            </w:r>
          </w:p>
          <w:p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+2 pp vs 2024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578"/>
            <w:tcBorders>
              <w:top w:val="single" w:color="14284B" w:sz="18"/>
              <w:left w:val="none" w:color="FFFFFF" w:sz="0"/>
              <w:bottom w:val="none" w:color="FFFFFF" w:sz="0"/>
              <w:right w:val="none" w:color="FFFFFF" w:sz="0"/>
            </w:tcBorders>
            <w:shd w:fill="EEF1F6" w:color="auto" w:val="clear"/>
            <w:tcMar>
              <w:top w:type="dxa" w:w="70"/>
              <w:left w:type="dxa" w:w="120"/>
              <w:bottom w:type="dxa" w:w="70"/>
              <w:right w:type="dxa" w:w="9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30"/>
                <w:szCs w:val="30"/>
              </w:rPr>
              <w:t xml:space="preserve">93%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Participación</w:t>
            </w:r>
          </w:p>
          <w:p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+3 pp vs 2024</w:t>
            </w:r>
          </w:p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El liderazgo (88%) se consolida como el principal activo para apalancar la estrategia. Fuente: Memoria Mallplaza 2025.</w:t>
      </w:r>
    </w:p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6. RESIDUOS, 2025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S4: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Generación de residuos por país</w:t>
            </w:r>
          </w:p>
          <w:p>
            <w:pPr>
              <w:spacing w:after="20" w:before="0"/>
            </w:pPr>
            <w:r>
              <w:drawing>
                <wp:inline distT="0" distB="0" distL="0" distR="0">
                  <wp:extent cx="3314700" cy="1323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Fuente: Memoria Mallplaza 2025.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200"/>
            </w:pPr>
          </w:p>
          <w:p>
            <w:pPr>
              <w:spacing w:after="8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32.424,86 toneladas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de residuos a nivel regional: 76% en Chile, 16% en Colombia y 7% en Perú.</w:t>
            </w:r>
          </w:p>
          <w:p>
            <w:pPr>
              <w:spacing w:after="8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46,2% valorizado: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14.987,57 t de residuos no peligrosos se destinaron a valorización energética con biogás (40,4%), reciclaje (36,1%) y compostaje (23,5%); el resto se destinó a eliminación, principalmente rellenos sanitarios.</w:t>
            </w:r>
          </w:p>
          <w:p>
            <w:pPr>
              <w:spacing w:after="8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Residuos peligrosos: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9,03 t, una cifra marginal por la naturaleza de la operación.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Página 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A-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ed411ba3c606390f872c40f1b4caf70649f76480.png"/><Relationship Id="rId12" Type="http://schemas.openxmlformats.org/officeDocument/2006/relationships/image" Target="media/bb229cbba7c93bbcdce30a13122f93af2ad5370c.png"/><Relationship Id="rId13" Type="http://schemas.openxmlformats.org/officeDocument/2006/relationships/image" Target="media/8fe419fd582c8d631f848117014dd8fdfe47e661.png"/><Relationship Id="rId14" Type="http://schemas.openxmlformats.org/officeDocument/2006/relationships/image" Target="media/4bc2b50fc361b46958993af72b6fed0f46eec7a4.png"/><Relationship Id="rId15" Type="http://schemas.openxmlformats.org/officeDocument/2006/relationships/image" Target="media/b0111e7433e81502552964a66525843934b6bbcb.png"/><Relationship Id="rId16" Type="http://schemas.openxmlformats.org/officeDocument/2006/relationships/image" Target="media/3fe8812a3136aa29736494e44ab849dc7868369a.png"/><Relationship Id="rId17" Type="http://schemas.openxmlformats.org/officeDocument/2006/relationships/image" Target="media/a1d8382ea339674a86ad98c542df97d034942bd7.png"/><Relationship Id="rId18" Type="http://schemas.openxmlformats.org/officeDocument/2006/relationships/image" Target="media/dbaedb451f19eb2ab39541b003ff01e6177ade9c.png"/><Relationship Id="rId19" Type="http://schemas.openxmlformats.org/officeDocument/2006/relationships/image" Target="media/b6d2ae5f89549048d7c9582bcdc25f29ceb9fdcd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2026-10-11T20:24:37.290Z</dcterms:created>
  <dcterms:modified xsi:type="dcterms:W3CDTF">2026-10-11T20:24:37.291Z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