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SUMMARY AND METHOD</w:t>
            </w:r>
          </w:p>
          <w:p>
            <w:pPr>
              <w:spacing w:after="3913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DISCOUNT RATE</w:t>
            </w:r>
          </w:p>
          <w:p>
            <w:pPr>
              <w:spacing w:after="3913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TERMINAL GROWTH</w:t>
            </w:r>
          </w:p>
          <w:p>
            <w:pPr>
              <w:spacing w:after="3913" w:before="0"/>
            </w:pP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 method justifies the current price (CLP per share)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52-week range pending (Bloomberg). Source: Team analysis; Bloomberg.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At CLP 3,555 equity yields almost the same as debt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Real rates in UF. Source: Central Bank of Chile (30-Jun-26); Mallplaza; Team analysis.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Growing below the WACC destroys value: real g = 0%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Top: DCF value by g. Bottom: relative terminal value by RONIC. Source: Team analysis.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WORKING CAPITAL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 VALIDATION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COMPARABLE MULTIPLES (20%)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SENSITIVITY AND RISK</w:t>
            </w:r>
          </w:p>
          <w:p>
            <w:pPr>
              <w:spacing w:after="3055" w:before="0"/>
            </w:pP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Working capital: an assumption that does not move the price (±1.2%)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Mallplaza financial statements; Team analysis.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market pays 6.0%; our cash flows are worth 10.1%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subsequent event, not in the model. Source: Mallplaza; Bloomberg; DF; Team analysis.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The price requires a WACC 285 bp lower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Team analysis.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implied by each peer's multiple vs DCF and price (CLP per share)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Target = 80% DCF + 20% EV/EBITDA LTM. P/E excluded (includes property revaluation). Peer set = companies with a WACC beta. Source: Bloomberg (prices at 30-Sep-26); Team analysis.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1de69c46d6d8340b2c892182e3f6f74af244267e.png"/><Relationship Id="rId12" Type="http://schemas.openxmlformats.org/officeDocument/2006/relationships/image" Target="media/7705807de7bb5ae65ea8f9405698e5accadf9f5f.png"/><Relationship Id="rId13" Type="http://schemas.openxmlformats.org/officeDocument/2006/relationships/image" Target="media/3f8811c3930ab52f0361e30aeba0a0477fff495d.png"/><Relationship Id="rId14" Type="http://schemas.openxmlformats.org/officeDocument/2006/relationships/image" Target="media/ac7d727936eff2c7c816433ffb33ff8d89e7d02c.png"/><Relationship Id="rId15" Type="http://schemas.openxmlformats.org/officeDocument/2006/relationships/image" Target="media/e78b17cbe4994957e6ba45239af4e36fc468c599.png"/><Relationship Id="rId16" Type="http://schemas.openxmlformats.org/officeDocument/2006/relationships/image" Target="media/eb51e0d291817a3d17c0d21bcf3419fbdc2ff4ba.png"/><Relationship Id="rId17" Type="http://schemas.openxmlformats.org/officeDocument/2006/relationships/image" Target="media/15174e0c0541fb78328ffe3fccdbfc912de62327.png"/><Relationship Id="rId18" Type="http://schemas.openxmlformats.org/officeDocument/2006/relationships/image" Target="media/fc24481a50aecaf97af890d023f9924ac8672d6f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2026-10-12T00:04:09.811Z</dcterms:created>
  <dcterms:modified xsi:type="dcterms:W3CDTF">2026-10-12T00:04:09.811Z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