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VALUACIÓN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SÍNTESIS Y MÉTODO</w:t>
            </w:r>
          </w:p>
          <w:p>
            <w:pPr>
              <w:spacing w:after="3913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TASA DE DESCUENTO</w:t>
            </w:r>
          </w:p>
          <w:p>
            <w:pPr>
              <w:spacing w:after="3913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CRECIMIENTO TERMINAL</w:t>
            </w:r>
          </w:p>
          <w:p>
            <w:pPr>
              <w:spacing w:after="3913" w:before="0"/>
            </w:pP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27: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Ningún método justifica el precio actual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954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954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Rango 52 semanas pendiente (Bloomberg). Fuente: análisis del equipo; Bloomberg.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28: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A CLP 3.555 el patrimonio rinde casi lo mismo que la deuda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Tasas reales en UF. Fuente: BCCh (30-06-26);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29: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Crecer bajo la WACC destruye valor: g real = 0%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52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52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Arriba: valor DCF según g. Abajo: valor terminal relativo según el RONIC. Fuente: análisis del equipo.</w:t>
            </w:r>
          </w:p>
        </w:tc>
      </w:tr>
    </w:tbl>
    <w:p>
      <w:pPr>
        <w:pageBreakBefore/>
        <w:spacing w:after="0"/>
      </w:pP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900"/>
        <w:gridCol w:w="216"/>
        <w:gridCol w:w="3550"/>
      </w:tblGrid>
      <w:tr>
        <w:trPr>
          <w:cantSplit/>
        </w:trPr>
        <w:tc>
          <w:tcPr>
            <w:tcW w:type="dxa" w:w="6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2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DCF: CAPITAL DE TRABAJO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VALIDACIÓN DEL DCF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MÚLTIPLOS COMPARABLES (20%)</w:t>
            </w:r>
          </w:p>
          <w:p>
            <w:pPr>
              <w:spacing w:after="3055" w:before="0"/>
            </w:pPr>
          </w:p>
          <w:p>
            <w:pPr>
              <w:pBdr>
                <w:bottom w:val="single" w:color="E9004B" w:sz="8" w:space="1"/>
              </w:pBdr>
              <w:spacing w:after="50" w:before="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SENSIBILIDAD Y RIESGO DE LA VALORACIÓN</w:t>
            </w:r>
          </w:p>
          <w:p>
            <w:pPr>
              <w:spacing w:after="3055" w:before="0"/>
            </w:pP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35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30: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Capital de trabajo: un supuesto que no mueve el precio (±1,2%)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210502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21050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EEFF Mallplaza;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mercado paga 6,0%; nuestros flujos valen 10,1%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6002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600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Gran Plaza: hecho posterior, no entra al modelo. Fuente: Mallplaza; Bloomberg; DF;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32: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El precio exige una WACC 285 pb menor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7811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7811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análisis del equipo.</w:t>
            </w:r>
          </w:p>
          <w:p>
            <w:pPr>
              <w:spacing w:after="30" w:before="12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33: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Valor implícito por múltiplo de cada par vs DCF y precio (CLP por acción)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2257425" cy="1962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57425" cy="1962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Precio objetivo = 80% DCF + 20% EV/EBITDA LTM. P/E excluido (incluye revalorización de propiedades). Set de pares = empresas con beta en la WACC. Fuente: Bloomberg (precios al 30-09-26); análisis del equipo.</w:t>
            </w:r>
          </w:p>
        </w:tc>
      </w:tr>
    </w:tbl>
    <w:p>
      <w:pPr>
        <w:sectPr>
          <w:headerReference w:type="default" r:id="rId7"/>
          <w:footerReference w:type="default" r:id="rId8"/>
          <w:pgSz w:w="11906" w:h="16838" w:orient="portrait"/>
          <w:pgMar w:top="1000" w:right="620" w:bottom="900" w:left="620" w:header="450" w:footer="400" w:gutter="0"/>
          <w:pgNumType/>
          <w:docGrid w:linePitch="360"/>
        </w:sectPr>
      </w:pPr>
    </w:p>
    <w:p>
      <w:pPr>
        <w:pBdr>
          <w:bottom w:val="single" w:color="14284B" w:sz="18" w:space="2"/>
        </w:pBdr>
        <w:spacing w:after="80"/>
      </w:pPr>
      <w:r>
        <w:rPr>
          <w:rFonts w:ascii="Arial" w:cs="Arial" w:eastAsia="Arial" w:hAnsi="Arial"/>
          <w:b/>
          <w:bCs/>
          <w:color w:val="14284B"/>
          <w:sz w:val="30"/>
          <w:szCs w:val="30"/>
        </w:rPr>
        <w:t xml:space="preserve">ANEXO [Z]: CONSTRUCCIÓN DE LA WACC</w:t>
      </w:r>
    </w:p>
    <w:p>
      <w:pPr>
        <w:shd w:fill="EEF1F6" w:color="auto" w:val="clear"/>
        <w:spacing w:after="60" w:line="228" w:lineRule="auto"/>
        <w:jc w:val="both"/>
      </w:pPr>
      <w:r>
        <w:rPr>
          <w:rFonts w:ascii="Arial" w:cs="Arial" w:eastAsia="Arial" w:hAnsi="Arial"/>
          <w:color w:val="1A1A1A"/>
          <w:sz w:val="16"/>
          <w:szCs w:val="16"/>
        </w:rPr>
        <w:t xml:space="preserve">La WACC se calcula por período: el D/E converge linealmente desde la estructura actual (20,0%) hasta la objetivo (28,5%, DFN/EBITDA 3,5x) en 2031. El Ke se construye en dólares (Rf del Tesoro de EE.UU. + beta re-apalancada × ERP + CRP ponderado por ingresos) y se convierte a pesos con el diferencial de inflación.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βL = βU × [1 + (1 − t) × D/E]  (Hamada)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USD = Rf + βL × ERP + CRP ponderado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Ke CLP = (1 + Ke USD) × (1 + π Chile) / (1 + π EE.UU.)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Kd CLP = (1 + Kd real + spread) × (1 + π Chile) − 1</w:t>
      </w:r>
    </w:p>
    <w:p>
      <w:pPr>
        <w:spacing w:after="10"/>
        <w:ind w:left="240"/>
      </w:pPr>
      <w:r>
        <w:rPr>
          <w:rFonts w:ascii="Arial" w:cs="Arial" w:eastAsia="Arial" w:hAnsi="Arial"/>
          <w:b/>
          <w:bCs/>
          <w:color w:val="14284B"/>
          <w:sz w:val="14"/>
          <w:szCs w:val="14"/>
        </w:rPr>
        <w:t xml:space="preserve">WACC = E/V × Ke CLP + D/V × Kd CLP × (1 − t)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A. SUPUESTOS DE MERCADO Y ESTRUCTURA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800"/>
        <w:gridCol w:w="2400"/>
        <w:gridCol w:w="3466"/>
      </w:tblGrid>
      <w:tr>
        <w:trPr>
          <w:tblHeader/>
        </w:trPr>
        <w:tc>
          <w:tcPr>
            <w:tcW w:type="dxa" w:w="4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Supuesto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Valor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Fuente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Rf: bono del Tesoro EE.UU. 10 años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4,98%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Prima por riesgo de mercado (ERP)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4,14%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Damodaran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Meta BCCh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Inflación de largo plazo EE.UU. (breakeven 10Y)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2,24%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Bloomberg, jun-26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 de impuesto Chile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Ley de la Renta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real: cupón última emisión en UF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3,60%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Mallplaza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Aumento del Kd real por vuelta de DFN/EBITDA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0,25%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 inicial (30-06-26) → objetivo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2,36x → 3,5x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Release 2Q26; supuesto del equipo</w:t>
            </w:r>
          </w:p>
        </w:tc>
      </w:tr>
      <w:tr>
        <w:tc>
          <w:tcPr>
            <w:tcW w:type="dxa" w:w="48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Deuda bruta / market cap (estructura actual, MM CLP)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1.579 / 7.906 (miles)</w:t>
            </w:r>
          </w:p>
        </w:tc>
        <w:tc>
          <w:tcPr>
            <w:tcW w:type="dxa" w:w="34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Tasa_WACC (FFCF)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B. BETA: PARES DESAPALANCADOS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766"/>
        <w:gridCol w:w="1400"/>
        <w:gridCol w:w="1900"/>
        <w:gridCol w:w="2100"/>
        <w:gridCol w:w="1100"/>
        <w:gridCol w:w="1400"/>
      </w:tblGrid>
      <w:tr>
        <w:trPr>
          <w:tblHeader/>
        </w:trPr>
        <w:tc>
          <w:tcPr>
            <w:tcW w:type="dxa" w:w="27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Empresa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apalancada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Deuda (MM CLP)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Market cap (MM CLP)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Impuesto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β desapalancada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Parque Arauco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1,250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1.700.507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3.828.031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Cencosud Shopping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1,075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762.154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3.942.858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0,942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Allos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1,164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960.191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2.712.166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0,944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Iguatemi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0,908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647.397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1.421.560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0,698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IRSA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0,427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625.047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1.218.777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35%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0,320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Multiplan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1,219</w:t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191.478</w:t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2.959.845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34%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1,169</w:t>
            </w:r>
          </w:p>
        </w:tc>
      </w:tr>
      <w:tr>
        <w:tc>
          <w:tcPr>
            <w:tcW w:type="dxa" w:w="27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Mediana (6 pares incluidos)</w:t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9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1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0,9428</w:t>
            </w:r>
          </w:p>
        </w:tc>
      </w:tr>
    </w:tbl>
    <w:p>
      <w:pPr>
        <w:spacing w:after="0" w:before="10" w:line="216" w:lineRule="auto"/>
      </w:pPr>
      <w:r>
        <w:rPr>
          <w:rFonts w:ascii="Arial" w:cs="Arial" w:eastAsia="Arial" w:hAnsi="Arial"/>
          <w:color w:val="5F5F5F"/>
          <w:sz w:val="11"/>
          <w:szCs w:val="11"/>
        </w:rPr>
        <w:t xml:space="preserve">Fuente: Bloomberg (betas), Tasa_WACC. Costa Verde se excluye porque no está en el set de comparables.</w:t>
      </w:r>
    </w:p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C. RIESGO PAÍS PONDERADO POR INGRESOS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166"/>
        <w:gridCol w:w="2700"/>
        <w:gridCol w:w="2400"/>
        <w:gridCol w:w="2400"/>
      </w:tblGrid>
      <w:tr>
        <w:trPr>
          <w:tblHeader/>
        </w:trPr>
        <w:tc>
          <w:tcPr>
            <w:tcW w:type="dxa" w:w="31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País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Ponderación (ingresos LTM)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CRP (Damodaran)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Aporte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Chile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71,8%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1,04%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0,75%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Perú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17,7%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1,55%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0,27%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Colombia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10,5%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0,39%</w:t>
            </w:r>
          </w:p>
        </w:tc>
      </w:tr>
      <w:tr>
        <w:tc>
          <w:tcPr>
            <w:tcW w:type="dxa" w:w="31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CRP ponderado</w:t>
            </w:r>
          </w:p>
        </w:tc>
        <w:tc>
          <w:tcPr>
            <w:tcW w:type="dxa" w:w="27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100,0%</w:t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/>
            </w:r>
          </w:p>
        </w:tc>
        <w:tc>
          <w:tcPr>
            <w:tcW w:type="dxa" w:w="24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1,41%</w:t>
            </w:r>
          </w:p>
        </w:tc>
      </w:tr>
    </w:tbl>
    <w:p>
      <w:pPr>
        <w:pBdr>
          <w:bottom w:val="single" w:color="E9004B" w:sz="8" w:space="1"/>
        </w:pBdr>
        <w:spacing w:after="50" w:before="140"/>
      </w:pPr>
      <w:r>
        <w:rPr>
          <w:rFonts w:ascii="Arial" w:cs="Arial" w:eastAsia="Arial" w:hAnsi="Arial"/>
          <w:b/>
          <w:bCs/>
          <w:color w:val="14284B"/>
          <w:sz w:val="16"/>
          <w:szCs w:val="16"/>
        </w:rPr>
        <w:t xml:space="preserve">D. WACC POR PERÍODO</w:t>
      </w:r>
    </w:p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66"/>
        <w:gridCol w:w="1100"/>
        <w:gridCol w:w="1100"/>
        <w:gridCol w:w="1100"/>
        <w:gridCol w:w="1100"/>
        <w:gridCol w:w="1100"/>
        <w:gridCol w:w="1100"/>
        <w:gridCol w:w="1200"/>
      </w:tblGrid>
      <w:tr>
        <w:trPr>
          <w:tblHeader/>
        </w:trPr>
        <w:tc>
          <w:tcPr>
            <w:tcW w:type="dxa" w:w="286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/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2S26E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2027E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2028E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2029E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2030E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2031E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4284B" w:color="auto" w:val="clear"/>
            <w:tcMar>
              <w:top w:type="dxa" w:w="35"/>
              <w:left w:type="dxa" w:w="80"/>
              <w:bottom w:type="dxa" w:w="35"/>
              <w:right w:type="dxa" w:w="80"/>
            </w:tcMar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color w:val="FFFFFF"/>
                <w:sz w:val="13"/>
                <w:szCs w:val="13"/>
              </w:rPr>
              <w:t xml:space="preserve">Terminal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DFN/EBITDA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2,46x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2,67x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2,88x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3,09x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3,29x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3,50x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D/E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23,9%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25,4%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27,0%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28,5%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D/V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17,2%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18,2%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19,3%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20,3%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21,2%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22,2%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Beta re-apalancada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1,086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1,096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1,107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1,118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1,128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1,139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USD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10,97%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11,06%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11,10%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Ke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11,70%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11,88%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11,93%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real (UF) con spread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3,68%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3,78%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3,89%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6,79%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6,89%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6,95%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FFFFF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7,00%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Kd después de impuestos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4,99%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5,03%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5,07%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5,11%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WACC nominal CLP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10,51%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10,48%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DF1CC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/>
                <w:bCs/>
                <w:color w:val="1A1A1A"/>
                <w:sz w:val="13"/>
                <w:szCs w:val="13"/>
              </w:rPr>
              <w:t xml:space="preserve">10,41%</w:t>
            </w:r>
          </w:p>
        </w:tc>
      </w:tr>
      <w:tr>
        <w:tc>
          <w:tcPr>
            <w:tcW w:type="dxa" w:w="2866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WACC real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7,32%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7,29%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7,26%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7,24%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7,22%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  <w:tc>
          <w:tcPr>
            <w:tcW w:type="dxa" w:w="1200"/>
            <w:tcBorders>
              <w:top w:val="none" w:color="FFFFFF" w:sz="0"/>
              <w:left w:val="none" w:color="FFFFFF" w:sz="0"/>
              <w:bottom w:val="single" w:color="D5D9E0" w:sz="4"/>
              <w:right w:val="none" w:color="FFFFFF" w:sz="0"/>
            </w:tcBorders>
            <w:shd w:fill="F7F8FB" w:color="auto" w:val="clear"/>
            <w:tcMar>
              <w:top w:type="dxa" w:w="25"/>
              <w:left w:type="dxa" w:w="80"/>
              <w:bottom w:type="dxa" w:w="25"/>
              <w:right w:type="dxa" w:w="80"/>
            </w:tcMar>
            <w:vAlign w:val="center"/>
          </w:tcPr>
          <w:p>
            <w:pPr>
              <w:spacing w:line="216" w:lineRule="auto"/>
              <w:jc w:val="right"/>
            </w:pPr>
            <w:r>
              <w:rPr>
                <w:rFonts w:ascii="Arial" w:cs="Arial" w:eastAsia="Arial" w:hAnsi="Arial"/>
                <w:b w:val="false"/>
                <w:bCs w:val="false"/>
                <w:color w:val="1A1A1A"/>
                <w:sz w:val="13"/>
                <w:szCs w:val="13"/>
              </w:rPr>
              <w:t xml:space="preserve">7,20%</w:t>
            </w:r>
          </w:p>
        </w:tc>
      </w:tr>
    </w:tbl>
    <w:tbl>
      <w:tblPr>
        <w:tblW w:type="dxa" w:w="10666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5225"/>
        <w:gridCol w:w="216"/>
        <w:gridCol w:w="5225"/>
      </w:tblGrid>
      <w:tr>
        <w:trPr>
          <w:cantSplit/>
        </w:trPr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spacing w:after="30" w:before="140" w:line="228" w:lineRule="auto"/>
            </w:pPr>
            <w:r>
              <w:rPr>
                <w:rFonts w:ascii="Arial" w:cs="Arial" w:eastAsia="Arial" w:hAnsi="Arial"/>
                <w:b/>
                <w:bCs/>
                <w:color w:val="14284B"/>
                <w:sz w:val="14"/>
                <w:szCs w:val="14"/>
              </w:rPr>
              <w:t xml:space="preserve">Figura Z1: </w:t>
            </w:r>
            <w:r>
              <w:rPr>
                <w:rFonts w:ascii="Arial" w:cs="Arial" w:eastAsia="Arial" w:hAnsi="Arial"/>
                <w:color w:val="14284B"/>
                <w:sz w:val="14"/>
                <w:szCs w:val="14"/>
              </w:rPr>
              <w:t xml:space="preserve">WACC nominal y D/E por período</w:t>
            </w:r>
          </w:p>
          <w:p>
            <w:pPr>
              <w:spacing w:after="20" w:before="0"/>
            </w:pPr>
            <w:r>
              <w:drawing>
                <wp:inline distT="0" distB="0" distL="0" distR="0">
                  <wp:extent cx="3314700" cy="17335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314700" cy="17335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 w:before="10" w:line="216" w:lineRule="auto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Control: la réplica coincide con la hoja WACC del modelo v2 (diferencia 0 pb en todos los períodos). Fuente: Damodaran; Bloomberg; BCCh; análisis del equipo.</w:t>
            </w:r>
          </w:p>
        </w:tc>
        <w:tc>
          <w:tcPr>
            <w:tcW w:type="dxa" w:w="216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/>
        </w:tc>
        <w:tc>
          <w:tcPr>
            <w:tcW w:type="dxa" w:w="5225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top"/>
          </w:tcPr>
          <w:p>
            <w:pPr>
              <w:pBdr>
                <w:bottom w:val="single" w:color="E9004B" w:sz="8" w:space="1"/>
              </w:pBdr>
              <w:spacing w:after="50" w:before="140"/>
            </w:pPr>
            <w:r>
              <w:rPr>
                <w:rFonts w:ascii="Arial" w:cs="Arial" w:eastAsia="Arial" w:hAnsi="Arial"/>
                <w:b/>
                <w:bCs/>
                <w:color w:val="14284B"/>
                <w:sz w:val="16"/>
                <w:szCs w:val="16"/>
              </w:rPr>
              <w:t xml:space="preserve">E. ELECCIÓN DE LA TASA LIBRE DE RIESGO</w:t>
            </w:r>
          </w:p>
          <w:tbl>
            <w:tblPr>
              <w:tblW w:type="dxa" w:w="5225"/>
              <w:tblBorders>
                <w:top w:val="none" w:color="FFFFFF" w:sz="0"/>
                <w:left w:val="none" w:color="FFFFFF" w:sz="0"/>
                <w:bottom w:val="none" w:color="FFFFFF" w:sz="0"/>
                <w:right w:val="none" w:color="FFFFFF" w:sz="0"/>
                <w:insideH w:val="none" w:color="FFFFFF" w:sz="0"/>
                <w:insideV w:val="none" w:color="FFFFFF" w:sz="0"/>
              </w:tblBorders>
            </w:tblPr>
            <w:tblGrid>
              <w:gridCol w:w="3725"/>
              <w:gridCol w:w="1500"/>
            </w:tblGrid>
            <w:tr>
              <w:trPr>
                <w:tblHeader/>
              </w:trP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Alternativa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shd w:fill="14284B" w:color="auto" w:val="clear"/>
                  <w:tcMar>
                    <w:top w:type="dxa" w:w="35"/>
                    <w:left w:type="dxa" w:w="80"/>
                    <w:bottom w:type="dxa" w:w="35"/>
                    <w:right w:type="dxa" w:w="80"/>
                  </w:tcMar>
                </w:tcPr>
                <w:p>
                  <w:pPr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3"/>
                      <w:szCs w:val="13"/>
                    </w:rPr>
                    <w:t xml:space="preserve">Valor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Base del modelo: Rf EE.UU. + CRP Chile, en CLP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6,80%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Bono en pesos 10 años BCCh (30-06-26)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5,43%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Diferencia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137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Efecto en la WACC terminal (diferencia × E/V)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FFFFF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−107 pb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Valor DCF con el bono en pesos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7F8FB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1A1A1A"/>
                      <w:sz w:val="13"/>
                      <w:szCs w:val="13"/>
                    </w:rPr>
                    <w:t xml:space="preserve">2.311</w:t>
                  </w:r>
                </w:p>
              </w:tc>
            </w:tr>
            <w:tr>
              <w:tc>
                <w:tcPr>
                  <w:tcW w:type="dxa" w:w="3725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lef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Precio objetivo 80/20 en ese caso (CLP)</w:t>
                  </w:r>
                </w:p>
              </w:tc>
              <w:tc>
                <w:tcPr>
                  <w:tcW w:type="dxa" w:w="1500"/>
                  <w:tcBorders>
                    <w:top w:val="none" w:color="FFFFFF" w:sz="0"/>
                    <w:left w:val="none" w:color="FFFFFF" w:sz="0"/>
                    <w:bottom w:val="single" w:color="D5D9E0" w:sz="4"/>
                    <w:right w:val="none" w:color="FFFFFF" w:sz="0"/>
                  </w:tcBorders>
                  <w:shd w:fill="FDF1CC" w:color="auto" w:val="clear"/>
                  <w:tcMar>
                    <w:top w:type="dxa" w:w="25"/>
                    <w:left w:type="dxa" w:w="80"/>
                    <w:bottom w:type="dxa" w:w="25"/>
                    <w:right w:type="dxa" w:w="80"/>
                  </w:tcMar>
                  <w:vAlign w:val="center"/>
                </w:tcPr>
                <w:p>
                  <w:pPr>
                    <w:spacing w:line="216" w:lineRule="auto"/>
                    <w:jc w:val="right"/>
                  </w:pPr>
                  <w:r>
                    <w:rPr>
                      <w:rFonts w:ascii="Arial" w:cs="Arial" w:eastAsia="Arial" w:hAnsi="Arial"/>
                      <w:b/>
                      <w:bCs/>
                      <w:color w:val="1A1A1A"/>
                      <w:sz w:val="13"/>
                      <w:szCs w:val="13"/>
                    </w:rPr>
                    <w:t xml:space="preserve">2.439</w:t>
                  </w:r>
                </w:p>
              </w:tc>
            </w:tr>
          </w:tbl>
          <w:p>
            <w:pPr>
              <w:spacing w:after="0" w:before="8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Por qué UST + CRP y no el bono en pesos: el bono local ya incluye el riesgo Chile, y sumarle el CRP lo contaría dos veces; además, un 28% de los ingresos viene de Perú y Colombia, cuyo riesgo se agrega con el CRP ponderado.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1A1A1A"/>
                <w:sz w:val="14"/>
                <w:szCs w:val="14"/>
              </w:rPr>
              <w:t xml:space="preserve">Es la elección más conservadora: con el bono en pesos el precio objetivo sube a ~CLP 2.439, todavía 31% bajo el precio de CLP 3.555. La recomendación no cambia.</w:t>
            </w:r>
          </w:p>
          <w:p>
            <w:pPr>
              <w:spacing w:after="0" w:before="30" w:line="216" w:lineRule="auto"/>
              <w:jc w:val="both"/>
            </w:pPr>
            <w:r>
              <w:rPr>
                <w:rFonts w:ascii="Arial" w:cs="Arial" w:eastAsia="Arial" w:hAnsi="Arial"/>
                <w:color w:val="5F5F5F"/>
                <w:sz w:val="11"/>
                <w:szCs w:val="11"/>
              </w:rPr>
              <w:t xml:space="preserve">Fuente: BCCh, Informativo Diario 2-jul-26; réplica del DCF v2 con la WACC desplazada en todos los períodos.</w:t>
            </w:r>
          </w:p>
        </w:tc>
      </w:tr>
    </w:tbl>
    <w:sectPr>
      <w:headerReference w:type="default" r:id="rId9"/>
      <w:footerReference w:type="default" r:id="rId10"/>
      <w:pgSz w:w="11906" w:h="16838" w:orient="portrait"/>
      <w:pgMar w:top="1000" w:right="620" w:bottom="900" w:left="620" w:header="450" w:footer="400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Página 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5F5F5F"/>
        <w:sz w:val="14"/>
        <w:szCs w:val="14"/>
      </w:rPr>
      <w:t xml:space="preserve">A-</w:t>
    </w:r>
    <w:r>
      <w:rPr>
        <w:rFonts w:ascii="Arial" w:cs="Arial" w:eastAsia="Arial" w:hAnsi="Arial"/>
        <w:color w:val="5F5F5F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5D9E0" w:sz="4" w:space="2"/>
      </w:pBdr>
      <w:jc w:val="right"/>
    </w:pPr>
    <w:r>
      <w:rPr>
        <w:rFonts w:ascii="Arial" w:cs="Arial" w:eastAsia="Arial" w:hAnsi="Arial"/>
        <w:color w:val="5F5F5F"/>
        <w:sz w:val="14"/>
        <w:szCs w:val="14"/>
      </w:rPr>
      <w:t xml:space="preserve">Mallplaza (Plaza S.A.)  |  CFA Institute Research Challenge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6"/>
        <w:szCs w:val="1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11" Type="http://schemas.openxmlformats.org/officeDocument/2006/relationships/image" Target="media/bb348fe2cf624c278d1fb4a8a6a4a69d7e3d979c.png"/><Relationship Id="rId12" Type="http://schemas.openxmlformats.org/officeDocument/2006/relationships/image" Target="media/f4b95aa413771b1f08b7f62face5117b70aaab8f.png"/><Relationship Id="rId13" Type="http://schemas.openxmlformats.org/officeDocument/2006/relationships/image" Target="media/ed3129060ce94d3c1398fcbf8b9268a320428b69.png"/><Relationship Id="rId14" Type="http://schemas.openxmlformats.org/officeDocument/2006/relationships/image" Target="media/328f2c60889fc8aa0b3b733bed64c607c599d6dd.png"/><Relationship Id="rId15" Type="http://schemas.openxmlformats.org/officeDocument/2006/relationships/image" Target="media/2aa57cef7da9e4d5005f807e2f30d9cddf02ab19.png"/><Relationship Id="rId16" Type="http://schemas.openxmlformats.org/officeDocument/2006/relationships/image" Target="media/cfbf5acba453ccf3377ff247a69f09666e6aff6b.png"/><Relationship Id="rId17" Type="http://schemas.openxmlformats.org/officeDocument/2006/relationships/image" Target="media/a14461c60f2f31bfdc29315896668970d5d2ddcf.png"/><Relationship Id="rId18" Type="http://schemas.openxmlformats.org/officeDocument/2006/relationships/image" Target="media/6d343a0f77820887ad9dd1c143c19f131bf77a7f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2026-10-12T00:04:09.425Z</dcterms:created>
  <dcterms:modified xsi:type="dcterms:W3CDTF">2026-10-12T00:04:09.425Z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