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val="false"/>
        <w:pBdr>
          <w:bottom w:val="single" w:color="14284B" w:sz="18" w:space="2"/>
        </w:pBdr>
        <w:spacing w:after="80"/>
      </w:pPr>
      <w:r>
        <w:rPr>
          <w:rFonts w:ascii="Arial" w:cs="Arial" w:eastAsia="Arial" w:hAnsi="Arial"/>
          <w:b/>
          <w:bCs/>
          <w:color w:val="14284B"/>
          <w:sz w:val="30"/>
          <w:szCs w:val="30"/>
        </w:rPr>
        <w:t xml:space="preserve">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DE UN MALL EN LA FLORIDA A 37 CENTROS URBANOS EN LA REGIÓN ANDINA</w:t>
            </w:r>
          </w:p>
          <w:p>
            <w:pPr>
              <w:keepNext w:val="false"/>
              <w:spacing w:after="60" w:before="0" w:line="228" w:lineRule="auto"/>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val="false"/>
              <w:pBdr>
                <w:bottom w:val="single" w:color="E9004B" w:sz="8" w:space="1"/>
              </w:pBdr>
              <w:spacing w:after="50" w:before="90"/>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val="false"/>
              <w:pBdr>
                <w:bottom w:val="single" w:color="E9004B" w:sz="8" w:space="1"/>
              </w:pBdr>
              <w:spacing w:after="50" w:before="90"/>
            </w:pPr>
            <w:r>
              <w:rPr>
                <w:rFonts w:ascii="Arial" w:cs="Arial" w:eastAsia="Arial" w:hAnsi="Arial"/>
                <w:b/>
                <w:bCs/>
                <w:color w:val="14284B"/>
                <w:sz w:val="16"/>
                <w:szCs w:val="16"/>
              </w:rPr>
              <w:t xml:space="preserve">EL VALOR SE CONCENTRA EN 10 ACTIVOS TIER A</w:t>
            </w:r>
          </w:p>
          <w:p>
            <w:pPr>
              <w:keepNext w:val="false"/>
              <w:spacing w:after="60" w:before="0" w:line="228" w:lineRule="auto"/>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r>
              <w:br/>
            </w: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310515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keepNext w:val="false"/>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val="false"/>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keepNext w:val="false"/>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val="false"/>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p>
            <w:pPr>
              <w:keepNext w:val="false"/>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r>
              <w:br/>
            </w: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276225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keepNext w:val="false"/>
              <w:keepLines/>
              <w:spacing w:after="20" w:before="90" w:line="240"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p>
            <w:pPr>
              <w:keepNext w:val="false"/>
              <w:keepLines/>
              <w:spacing w:after="20" w:before="90" w:line="240"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val="false"/>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keepNext w:val="false"/>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keepNext w:val="false"/>
              <w:keepLines/>
              <w:spacing w:after="20" w:before="90" w:line="240"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AMBIENTAL, SOCIAL Y GOBIERNO CORPORATIVO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keepNext w:val="false"/>
              <w:pBdr>
                <w:bottom w:val="single" w:color="E9004B" w:sz="8" w:space="1"/>
              </w:pBdr>
              <w:spacing w:after="50" w:before="90"/>
            </w:pPr>
            <w:r>
              <w:rPr>
                <w:rFonts w:ascii="Arial" w:cs="Arial" w:eastAsia="Arial" w:hAnsi="Arial"/>
                <w:b/>
                <w:bCs/>
                <w:color w:val="14284B"/>
                <w:sz w:val="16"/>
                <w:szCs w:val="16"/>
              </w:rPr>
              <w:t xml:space="preserve">AMBIENTAL</w:t>
            </w:r>
          </w:p>
          <w:p>
            <w:pPr>
              <w:keepNext w:val="false"/>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val="false"/>
              <w:pBdr>
                <w:bottom w:val="single" w:color="E9004B" w:sz="8" w:space="1"/>
              </w:pBdr>
              <w:spacing w:after="50" w:before="90"/>
            </w:pPr>
            <w:r>
              <w:rPr>
                <w:rFonts w:ascii="Arial" w:cs="Arial" w:eastAsia="Arial" w:hAnsi="Arial"/>
                <w:b/>
                <w:bCs/>
                <w:color w:val="14284B"/>
                <w:sz w:val="16"/>
                <w:szCs w:val="16"/>
              </w:rPr>
              <w:t xml:space="preserve">SOCIAL</w:t>
            </w:r>
          </w:p>
          <w:p>
            <w:pPr>
              <w:keepNext w:val="false"/>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r>
              <w:br/>
            </w: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828800"/>
                          </a:xfrm>
                          <a:prstGeom prst="rect">
                            <a:avLst/>
                          </a:prstGeom>
                        </pic:spPr>
                      </pic:pic>
                    </a:graphicData>
                  </a:graphic>
                </wp:inline>
              </w:drawing>
            </w:r>
            <w:r>
              <w:br/>
            </w: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keepNext w:val="false"/>
              <w:keepLines/>
              <w:spacing w:after="20" w:before="90" w:line="240"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p>
            <w:pPr>
              <w:keepNext w:val="false"/>
              <w:keepLines/>
              <w:spacing w:after="20" w:before="90" w:line="240"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keepNext w:val="false"/>
              <w:keepLines/>
              <w:spacing w:after="20" w:before="90" w:line="240"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GOBIERNO CORPORATIVO</w:t>
            </w:r>
          </w:p>
          <w:p>
            <w:pPr>
              <w:keepNext w:val="false"/>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ANÁLISIS FINANCIERO</w:t>
      </w:r>
    </w:p>
    <w:p>
      <w:pPr>
        <w:keepNext w:val="false"/>
        <w:shd w:fill="EEF1F6" w:color="auto" w:val="clear"/>
        <w:spacing w:after="60" w:line="228" w:lineRule="auto"/>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line="228" w:lineRule="auto"/>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jc w:val="both"/>
            </w:pPr>
            <w:r>
              <w:rPr>
                <w:rFonts w:ascii="Arial" w:cs="Arial" w:eastAsia="Arial" w:hAnsi="Arial"/>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jc w:val="both"/>
            </w:pPr>
            <w:r>
              <w:rPr>
                <w:rFonts w:ascii="Arial" w:cs="Arial" w:eastAsia="Arial" w:hAnsi="Arial"/>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jc w:val="both"/>
            </w:pPr>
            <w:r>
              <w:rPr>
                <w:rFonts w:ascii="Arial" w:cs="Arial" w:eastAsia="Arial" w:hAnsi="Arial"/>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jc w:val="both"/>
            </w:pPr>
            <w:r>
              <w:rPr>
                <w:rFonts w:ascii="Arial" w:cs="Arial" w:eastAsia="Arial" w:hAnsi="Arial"/>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jc w:val="both"/>
            </w:pPr>
            <w:r>
              <w:rPr>
                <w:rFonts w:ascii="Arial" w:cs="Arial" w:eastAsia="Arial" w:hAnsi="Arial"/>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jc w:val="both"/>
            </w:pPr>
            <w:r>
              <w:rPr>
                <w:rFonts w:ascii="Arial" w:cs="Arial" w:eastAsia="Arial" w:hAnsi="Arial"/>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El margen subió por mix y recuperación de gastos; el apalancamiento operativo se agotó</w:t>
            </w:r>
          </w:p>
          <w:p>
            <w:pPr>
              <w:keepNext w:val="false"/>
              <w:spacing w:after="60" w:before="0" w:line="228" w:lineRule="auto"/>
              <w:jc w:val="both"/>
            </w:pPr>
            <w:r>
              <w:rPr>
                <w:rFonts w:ascii="Arial" w:cs="Arial" w:eastAsia="Arial" w:hAnsi="Arial"/>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jc w:val="both"/>
            </w:pPr>
            <w:r>
              <w:rPr>
                <w:rFonts w:ascii="Arial" w:cs="Arial" w:eastAsia="Arial" w:hAnsi="Arial"/>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jc w:val="both"/>
            </w:pPr>
            <w:r>
              <w:rPr>
                <w:rFonts w:ascii="Arial" w:cs="Arial" w:eastAsia="Arial" w:hAnsi="Arial"/>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p>
            <w:pPr>
              <w:keepNext w:val="false"/>
              <w:spacing w:after="60" w:before="0" w:line="228" w:lineRule="auto"/>
              <w:jc w:val="both"/>
            </w:pPr>
            <w:r>
              <w:rPr>
                <w:rFonts w:ascii="Arial" w:cs="Arial" w:eastAsia="Arial" w:hAnsi="Arial"/>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jc w:val="both"/>
            </w:pPr>
            <w:r>
              <w:rPr>
                <w:rFonts w:ascii="Arial" w:cs="Arial" w:eastAsia="Arial" w:hAnsi="Arial"/>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jc w:val="both"/>
            </w:pPr>
            <w:r>
              <w:rPr>
                <w:rFonts w:ascii="Arial" w:cs="Arial" w:eastAsia="Arial" w:hAnsi="Arial"/>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jc w:val="both"/>
            </w:pPr>
            <w:r>
              <w:rPr>
                <w:rFonts w:ascii="Arial" w:cs="Arial" w:eastAsia="Arial" w:hAnsi="Arial"/>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jc w:val="both"/>
            </w:pPr>
            <w:r>
              <w:rPr>
                <w:rFonts w:ascii="Arial" w:cs="Arial" w:eastAsia="Arial" w:hAnsi="Arial"/>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jc w:val="both"/>
            </w:pPr>
            <w:r>
              <w:rPr>
                <w:rFonts w:ascii="Arial" w:cs="Arial" w:eastAsia="Arial" w:hAnsi="Arial"/>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keepNext w:val="false"/>
              <w:spacing w:after="60" w:before="0" w:line="228" w:lineRule="auto"/>
              <w:jc w:val="both"/>
            </w:pPr>
            <w:r>
              <w:rPr>
                <w:rFonts w:ascii="Arial" w:cs="Arial" w:eastAsia="Arial" w:hAnsi="Arial"/>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jc w:val="both"/>
            </w:pPr>
            <w:r>
              <w:rPr>
                <w:rFonts w:ascii="Arial" w:cs="Arial" w:eastAsia="Arial" w:hAnsi="Arial"/>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Lo que esto significa para la valoración</w:t>
            </w:r>
          </w:p>
          <w:p>
            <w:pPr>
              <w:keepNext w:val="false"/>
              <w:spacing w:after="60" w:before="0" w:line="228" w:lineRule="auto"/>
              <w:jc w:val="both"/>
            </w:pPr>
            <w:r>
              <w:rPr>
                <w:rFonts w:ascii="Arial" w:cs="Arial" w:eastAsia="Arial" w:hAnsi="Arial"/>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jc w:val="both"/>
            </w:pPr>
            <w:r>
              <w:rPr>
                <w:rFonts w:ascii="Arial" w:cs="Arial" w:eastAsia="Arial" w:hAnsi="Arial"/>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57425" cy="169545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Celeste suma, rojo resta, azul = totales. Tras minoritarios (CLP 2,8 mil MM), el FFO atribuible es CLP 405,2 mil MM vs 405,3 reportado. Fuente: EEFF Plaza S.A. (CMF) 2025, Notas 13.1 y 23; análisis del equipo.</w:t>
            </w:r>
          </w:p>
          <w:p>
            <w:pPr>
              <w:keepNext w:val="false"/>
              <w:spacing w:after="30" w:before="9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57425" cy="17811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p>
            <w:pPr>
              <w:keepNext w:val="false"/>
              <w:spacing w:after="30" w:before="9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p>
            <w:pPr>
              <w:keepNext w:val="false"/>
              <w:spacing w:after="30" w:before="9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57425" cy="182880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p>
            <w:pPr>
              <w:keepNext w:val="false"/>
              <w:spacing w:after="30" w:before="9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57425" cy="20097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p>
            <w:pPr>
              <w:keepNext w:val="false"/>
              <w:spacing w:after="30" w:before="9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57425" cy="26955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VALUACIÓN</w:t>
      </w:r>
    </w:p>
    <w:p>
      <w:pPr>
        <w:keepNext w:val="false"/>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keepNext w:val="false"/>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jc w:val="both"/>
            </w:pPr>
            <w:r>
              <w:rPr>
                <w:rFonts w:ascii="Arial" w:cs="Arial" w:eastAsia="Arial" w:hAnsi="Arial"/>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val="false"/>
              <w:pBdr>
                <w:bottom w:val="single" w:color="E9004B" w:sz="8" w:space="1"/>
              </w:pBdr>
              <w:spacing w:after="50" w:before="90"/>
            </w:pPr>
            <w:r>
              <w:rPr>
                <w:rFonts w:ascii="Arial" w:cs="Arial" w:eastAsia="Arial" w:hAnsi="Arial"/>
                <w:b/>
                <w:bCs/>
                <w:color w:val="14284B"/>
                <w:sz w:val="16"/>
                <w:szCs w:val="16"/>
              </w:rPr>
              <w:t xml:space="preserve">LA HISTORIA ESTÁ EN LA TASA</w:t>
            </w:r>
          </w:p>
          <w:p>
            <w:pPr>
              <w:keepNext w:val="false"/>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keepNext w:val="false"/>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keepNext w:val="false"/>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val="false"/>
              <w:pBdr>
                <w:bottom w:val="single" w:color="E9004B" w:sz="8" w:space="1"/>
              </w:pBdr>
              <w:spacing w:after="50" w:before="90"/>
            </w:pPr>
            <w:r>
              <w:rPr>
                <w:rFonts w:ascii="Arial" w:cs="Arial" w:eastAsia="Arial" w:hAnsi="Arial"/>
                <w:b/>
                <w:bCs/>
                <w:color w:val="14284B"/>
                <w:sz w:val="16"/>
                <w:szCs w:val="16"/>
              </w:rPr>
              <w:t xml:space="preserve">CRECER NO RESCATA EL PRECIO</w:t>
            </w:r>
          </w:p>
          <w:p>
            <w:pPr>
              <w:keepNext w:val="false"/>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keepNext w:val="false"/>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keepNext w:val="false"/>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keepNext w:val="false"/>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val="false"/>
              <w:pBdr>
                <w:bottom w:val="single" w:color="E9004B" w:sz="8" w:space="1"/>
              </w:pBdr>
              <w:spacing w:after="50" w:before="90"/>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keepNext w:val="false"/>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val="false"/>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keepNext w:val="false"/>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jc w:val="both"/>
            </w:pPr>
            <w:r>
              <w:rPr>
                <w:rFonts w:ascii="Arial" w:cs="Arial" w:eastAsia="Arial" w:hAnsi="Arial"/>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keepNext w:val="false"/>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keepNext w:val="false"/>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5742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keepNext w:val="false"/>
              <w:spacing w:after="30" w:before="9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Tasas reales en UF. Fuente: BCCh (30-06-26); Mallplaza; análisis del equipo.</w:t>
            </w:r>
          </w:p>
          <w:p>
            <w:pPr>
              <w:keepNext w:val="false"/>
              <w:spacing w:after="30" w:before="9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EEFF Mallplaza; análisis del equipo.</w:t>
            </w:r>
          </w:p>
          <w:p>
            <w:pPr>
              <w:keepNext w:val="false"/>
              <w:spacing w:after="30" w:before="9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57425" cy="18764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p>
            <w:pPr>
              <w:keepNext w:val="false"/>
              <w:spacing w:after="30" w:before="9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57425" cy="2057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keepNext w:val="false"/>
              <w:spacing w:after="30" w:before="9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17811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keepNext w:val="false"/>
              <w:spacing w:after="30" w:before="9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4668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keepNext w:val="false"/>
              <w:spacing w:after="30" w:before="9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pPr>
      <w:r>
        <w:br w:type="page"/>
      </w: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4ba9315e797149d5131110a457c52ed8e3f19d3.png"/><Relationship Id="rId12" Type="http://schemas.openxmlformats.org/officeDocument/2006/relationships/image" Target="media/34532f7c30c17d6314684a916c3bfde3999b7416.png"/><Relationship Id="rId13" Type="http://schemas.openxmlformats.org/officeDocument/2006/relationships/image" Target="media/7740e404b19cbf777a033b14c42409a022747a72.png"/><Relationship Id="rId14" Type="http://schemas.openxmlformats.org/officeDocument/2006/relationships/image" Target="media/f15c089be8e0d753539f6f9eeefa3fe9c0bc4f68.png"/><Relationship Id="rId15" Type="http://schemas.openxmlformats.org/officeDocument/2006/relationships/image" Target="media/b21d50f01ceb50050bb1fcd3d7e05774045c60c5.png"/><Relationship Id="rId16" Type="http://schemas.openxmlformats.org/officeDocument/2006/relationships/image" Target="media/0cebf95ed6b1035d4fc1453eaa063682bfc6d832.png"/><Relationship Id="rId17" Type="http://schemas.openxmlformats.org/officeDocument/2006/relationships/image" Target="media/ed411ba3c606390f872c40f1b4caf70649f76480.png"/><Relationship Id="rId18" Type="http://schemas.openxmlformats.org/officeDocument/2006/relationships/image" Target="media/bb229cbba7c93bbcdce30a13122f93af2ad5370c.png"/><Relationship Id="rId19" Type="http://schemas.openxmlformats.org/officeDocument/2006/relationships/image" Target="media/8fe419fd582c8d631f848117014dd8fdfe47e661.png"/><Relationship Id="rId20" Type="http://schemas.openxmlformats.org/officeDocument/2006/relationships/image" Target="media/4bc2b50fc361b46958993af72b6fed0f46eec7a4.png"/><Relationship Id="rId21" Type="http://schemas.openxmlformats.org/officeDocument/2006/relationships/image" Target="media/b0111e7433e81502552964a66525843934b6bbcb.png"/><Relationship Id="rId22" Type="http://schemas.openxmlformats.org/officeDocument/2006/relationships/image" Target="media/3ffdba50826c0f47161d8972132ca5b20b0dbd4e.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78fd8a3b95d09da84d6f02bcf7058100a332498a.png"/><Relationship Id="rId26" Type="http://schemas.openxmlformats.org/officeDocument/2006/relationships/image" Target="media/1d9a00e71859a315af64a6732f0ba93bf8e1e282.png"/><Relationship Id="rId27" Type="http://schemas.openxmlformats.org/officeDocument/2006/relationships/image" Target="media/c56e3105f1791428290fa44aea05f2c406719a25.png"/><Relationship Id="rId28" Type="http://schemas.openxmlformats.org/officeDocument/2006/relationships/image" Target="media/b6ad38b50f96473e1c95db300a0891d50e013037.png"/><Relationship Id="rId29" Type="http://schemas.openxmlformats.org/officeDocument/2006/relationships/image" Target="media/04fb2f47d0c2a10e8504a929c26d8d31ae4b5144.png"/><Relationship Id="rId30" Type="http://schemas.openxmlformats.org/officeDocument/2006/relationships/image" Target="media/c7060131278eba50ab0a6b4e4b2960b3ce4706aa.png"/><Relationship Id="rId31" Type="http://schemas.openxmlformats.org/officeDocument/2006/relationships/image" Target="media/03d5d8833b5c2cb5bd07e46a37d802973eaa624a.png"/><Relationship Id="rId32" Type="http://schemas.openxmlformats.org/officeDocument/2006/relationships/image" Target="media/e2ccf62f48e92e82e3d897a5379bf2c580267fad.png"/><Relationship Id="rId33" Type="http://schemas.openxmlformats.org/officeDocument/2006/relationships/image" Target="media/0897f311e5cbffecbbe06a7ec01f09ab8e5e0710.png"/><Relationship Id="rId34" Type="http://schemas.openxmlformats.org/officeDocument/2006/relationships/image" Target="media/6126286bee20cf8b01464e351d7a26ba2dd68ffb.png"/><Relationship Id="rId35" Type="http://schemas.openxmlformats.org/officeDocument/2006/relationships/image" Target="media/3964fb994282e9090b06f98a92091ef0c025b273.png"/><Relationship Id="rId36" Type="http://schemas.openxmlformats.org/officeDocument/2006/relationships/image" Target="media/c186a4abce57fb872cd303c60ab1117ebc25455f.png"/><Relationship Id="rId37" Type="http://schemas.openxmlformats.org/officeDocument/2006/relationships/image" Target="media/806bcde468984aadc88cffb24a22441c8f646a4a.png"/><Relationship Id="rId38" Type="http://schemas.openxmlformats.org/officeDocument/2006/relationships/image" Target="media/bf577d13a0a682b653e02a9c3ca9b3cb35eae0f3.png"/><Relationship Id="rId39" Type="http://schemas.openxmlformats.org/officeDocument/2006/relationships/image" Target="media/6e4680ecbf0aa76ff00a7a0ea476ccf717a865f6.png"/><Relationship Id="rId40" Type="http://schemas.openxmlformats.org/officeDocument/2006/relationships/image" Target="media/4609d9854ebb5b18f53a96249b39f91c7e2c04ad.png"/><Relationship Id="rId41" Type="http://schemas.openxmlformats.org/officeDocument/2006/relationships/image" Target="media/3b142e586c3e5210e292c0bd5ee719159683478e.png"/><Relationship Id="rId42" Type="http://schemas.openxmlformats.org/officeDocument/2006/relationships/image" Target="media/438682b6a2423995622f6a04ae6a9ebde6b1b73c.png"/><Relationship Id="rId43" Type="http://schemas.openxmlformats.org/officeDocument/2006/relationships/image" Target="media/ff2104c08e4ce6fa65fd948e42737135974bf6c7.png"/><Relationship Id="rId44" Type="http://schemas.openxmlformats.org/officeDocument/2006/relationships/image" Target="media/68d45e370e4ab8a3c4bafdcf440cb34d293a9255.png"/><Relationship Id="rId45" Type="http://schemas.openxmlformats.org/officeDocument/2006/relationships/image" Target="media/3fe8812a3136aa29736494e44ab849dc7868369a.png"/><Relationship Id="rId46" Type="http://schemas.openxmlformats.org/officeDocument/2006/relationships/image" Target="media/a1d8382ea339674a86ad98c542df97d034942bd7.png"/><Relationship Id="rId47" Type="http://schemas.openxmlformats.org/officeDocument/2006/relationships/image" Target="media/dbaedb451f19eb2ab39541b003ff01e6177ade9c.png"/><Relationship Id="rId48" Type="http://schemas.openxmlformats.org/officeDocument/2006/relationships/image" Target="media/b6d2ae5f89549048d7c9582bcdc25f29ceb9fdcd.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2026-10-14T19:17:46.498Z</dcterms:created>
  <dcterms:modified xsi:type="dcterms:W3CDTF">2026-10-14T19:17:46.498Z</dcterms:modified>
</cp:coreProperties>
</file>

<file path=docProps/custom.xml><?xml version="1.0" encoding="utf-8"?>
<Properties xmlns="http://schemas.openxmlformats.org/officeDocument/2006/custom-properties" xmlns:vt="http://schemas.openxmlformats.org/officeDocument/2006/docPropsVTypes"/>
</file>