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WHO WE ARE AND WHAT WE DO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company overview, history and listing.]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BUSINESS MODEL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how Mallplaza earns revenue (fixed and variable rents, parking, services).]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GEOGRAPHIC FOOTPRINT AND ASSET MIX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portfolio by country, GLA and asset type.]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GROWTH DRIVERS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pipeline, expansions and acquisitions.]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STRUCTURE AND GOVERNANCE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controlling shareholder and corporate structure.]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GLA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mix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0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Asset portfolio map]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OVERVIEW (RETAIL AND SHOPPING MALLS)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structure of the retail and mall industry in Chile, Peru and Colombia.]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SIZE AND GROWTH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market size, growth and penetration.]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COMPETITIVE DYNAMICS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main competitors and recent moves.]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Retail sales growth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1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Mall GLA per capita]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2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Market share by operator]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2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PORTER'S FIVE FORCES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assessment of each force and its intensity.]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MALLPLAZA'S COMPETITIVE POSITION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advantages versus peers (location, scale, mix).]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BARRIERS TO ENTRY AND BARGAINING POWER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land, permits, capital, and tenant and supplier power.]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Porter's five forces]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3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Peer comparison: occupancy and rent]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33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Competitive positioning map]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3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ESG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ENVIRONMENTAL MANAGEMENT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energy, emissions, water and certifications.]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 IMPACT AND COMMUNITY RELATIONS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3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employees, tenants, visitors and communities.]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GOVERNANCE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board, independence, related parties and incentives.]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COMPLIANCE AND STANDARDS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regulation and reporting standards that apply.]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ESG RISKS AND OPPORTUNITIES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4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material ESG issues and their link to value.]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ESG scorecard]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4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Energy and emissions intensity]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4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Board 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5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HISTORICAL RESULTS AND TRENDS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revenue, EBITDA and FFO over time and what drove them.]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AND PROFITABILITY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EBITDA margin by country and profitability trends.]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5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operating cash flow, capex and dividends.]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and EBITDA 2021–2025]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56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EBITDA margin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5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FFO bridge]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6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CAPITAL STRUCTURE AND LIQUIDITY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6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net debt, maturities, UF exposure and liquidity.]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RATIOS (ROIC, ROE, LEVERAGE)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6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ratio analysis and comparison with peers.]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Debt maturity profile]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6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Net debt/EBITDA and LTV]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DuPont ROE decomposition]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3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METHODOLOGY (DCF + COMPS)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7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methods used and their weighting.]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ASSUMPTIONS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7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growth, margins, capex and terminal value.]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 PROJECTIONS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7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FCFF forecast 2026E–2031E.]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 (football field)]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7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Key assumptions]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8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FCFF 2026E–2031E]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8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COST OF CAPITAL (WACC, KE)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risk-free rate, beta, ERP, country risk and cost of debt.]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AND SCENARIO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bear, base and bull cases and their drivers.]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VALUE PER SHARE AND UPSIDE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8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value per share versus the current price.]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WACC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analysis]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9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vs. current price]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09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09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25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3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6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9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25–28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26–28: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SUMMARY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GENERAL CONCLUSION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investment thesis in a few sentences.]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RECOMMENDATION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BUY / HOLD / SELL and the reasoning behind it.]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CATALYSTS AND DRIVERS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events or trends that could unlock value and their timing.]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main risks to the recommendation (see Investment Risks).]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TARGET PRICE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how the target price was derived (DCF and multiples) and the upside versus the current price.]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KEY DATA</w:t>
            </w:r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single" w:color="D5D9E0" w:sz="4"/>
                <w:right w:val="none" w:color="FFFFFF" w:sz="0"/>
                <w:insideH w:val="single" w:color="D5D9E0" w:sz="4"/>
                <w:insideV w:val="none" w:color="FFFFFF" w:sz="0"/>
              </w:tblBorders>
            </w:tblPr>
            <w:tblGrid>
              <w:gridCol w:w="1750"/>
              <w:gridCol w:w="1800"/>
            </w:tblGrid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Recommendation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28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Target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29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Current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Upside / downside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Ticker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Market cap (CLP bn)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3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52-week range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4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Dividend yield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  <w:jc w:val="righ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5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sdtContent>
                  </w:sdt>
                </w:p>
              </w:tc>
            </w:tr>
          </w:tbl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3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Share price vs. IPSA]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37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3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300" w:hRule="exac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4"/>
                        <w:szCs w:val="14"/>
                      </w:rPr>
                      <w:id w:val="1140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sdtContent>
                  </w:sdt>
                </w:p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 w:start="1"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2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Income statement 2022A–2031E]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4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2: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5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Balance sheet]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4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7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3: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8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Cash flow statement]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4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4: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1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Forecast assumptions]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3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5: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4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DCF valuation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6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6: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7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WACC calculation]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5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7: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0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Comparable companies]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2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8: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3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DuPont and key ratios]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9: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6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Sensitivity and scenario analysis]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6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8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10: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9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ESG scorecard and risk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exac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7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sdtContent>
            </w:sdt>
          </w:p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71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91c504cdafac82d39d0b08b96e6f34d33f4f7b3.png"/><Relationship Id="rId12" Type="http://schemas.openxmlformats.org/officeDocument/2006/relationships/image" Target="media/152972a9c0a42494cb472120ade4ceb5c6155868.png"/><Relationship Id="rId13" Type="http://schemas.openxmlformats.org/officeDocument/2006/relationships/image" Target="media/b8f294e63ccf71915e5963cd50717c82f918e8dc.png"/><Relationship Id="rId14" Type="http://schemas.openxmlformats.org/officeDocument/2006/relationships/image" Target="media/9d31dd3e76b3dcb95aa175fdaea7bf1546522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2026-10-07T01:32:39.659Z</dcterms:created>
  <dcterms:modified xsi:type="dcterms:W3CDTF">2026-10-07T01:32:39.659Z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