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Mallplaza's rental engine grows at roughly 3% in real terms with an 80% EBITDA margin and cash-flow leverage below 2.5x; headline profit, growth and leverage all overstate that engine and must be normalized before forecasting.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Normalized ROE of 8–10% is the real return; reported ROE is appraisal-driven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bn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Revenue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916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961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EBITDA margin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79.8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FFO margin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60.9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52.2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Net income, reported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649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Distributable profit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Net margin, normalized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52.9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46.2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Asset turnover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.094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Assets / equity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1.79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14.4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12.0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12.0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9.7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8.2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normalized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5.5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5.1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4.3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Normalized = distributable profit (2022A team proxy; 2022 UF indexation inflated by ~13% inflation). Average balances; series starts in 2022 (IAS 40 fair value applied retroactively from 1 Jan 2022). 2026E–2031E: valuation base case; balance sheet rolled forward from Dec-25 (equity + reported profit − ordinary and additional distributions; property revalued at 3% inflation, 27% deferred tax; net debt rising to 3.5x EBITDA by 2031E). Source: Plaza S.A. financial statements (CMF), Note 20e; 2Q26 results release (FFO); Team analysis.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Reported earnings track the appraiser; FFO tracks the business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Under IAS 40, revaluations of investment property run through the income statement. In 2025 a CLP 1,447bn fair-value gain, 27% of opening property value against about 2% a year at Parque Arauco and Cencosud Shopping, lifted attributable net income to CLP 1,431bn (2.2x revenue) and reported ROE to 37.5% (Figure 1). About two-thirds of Chile's 29% uplift came from a lower appraisal discount rate, not from higher NOI.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Excluding fair-value gains net of deferred tax, audited distributable profit was CLP 369bn and ROE 9.7%, the highest of the three local peers on a comparable basis (Appendix 6). FFO, which we rebuild from the statements to within 0.02% of the reported CLP 405bn (Figure 2), held a 59–62% margin over 2022–2025 while net income swung more than fourfold. FFO excludes the UF indexation of debt (CLP 44bn, 11% of FFO); distributable profit includes it and is our conservative earnings anchor.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Removing fair-value gains and non-cash items turns CLP 1,441bn of profit into CLP 408bn of FFO (CLP bn)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Light blue adds back, red removes, navy = totals. After minorities (CLP 2.8bn), FFO attributable is CLP 405.2bn vs CLP 405.3bn reported. Source: Plaza S.A. financial statements (CMF) FY2025, Notes 13.1 and 23; Team analysis.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Two-thirds of 2025 growth was bought; organic real growth is about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Revenue rose 76% between 2022 and 2025, but 21.8pp of 2025's 32.2% came from perimeter: the Peruvian portfolio bought from Falabella, consolidated from 4 December 2024. Ex-Peru, revenue grew 10.7% in 2025 and 7.1% in 1H26.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Once currency and inflation are removed, 1H26 reported growth of 7.4% falls to about 3.0% real (Figure 3). Chile grew 2.8% after 3.1% UF indexation (5.1% in 2025); Peru 4.5% despite occupancy slipping to 93.8%; Colombia only about 1% once a 7.5% COP appreciation and 6.1% inflation are stripped out.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Growth is contractual, not sales-driven. Variable rent is 5.1% of revenue and fell 1.1% in 1H26 while tenant sales rose 6.7%, because minimum rents (same-store rent +5.5%) are outpacing tenant sales (same-store sales +3.7%). Revenue is therefore bond-like, but its real growth is converging on the 0.4–0.9% the company assumes for Chile in its own appraisal.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gains came from mix and cost recovery; operating leverage is spent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EBITDA margin rose from 76.2% in 2022 to 80.5% in 2025 for two reasons. Peru consolidates at an 83% segment margin, against 80% in Chile and 73% in Colombia. Chile's margin gained 2.4pp on a higher recovery of common charges, which are presented net of cost (Note 2.20): real, but dependent on occupancy and tenant negotiations, so not structural.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With cost of sales at 6% of revenue and total operating costs near 20%, little fixed cost is left to dilute; with D&amp;A at 0.7% of revenue, EBIT (CLP 523bn in 2025) tracks EBITDA. In 1H26 EBITDA grew 7.4%, in line with revenue, and margin held at 79.7%. Administrative expense rose 18.1% on payroll (+18.9%: CEO transition and a full year of Peru), a bad-debt charge rebounding from a 2025 base flattered by recoveries (0.64% of revenue, below 1.22% in 2024), and a one-off Colombian wealth tax of CLP 1.7bn. Excluding the last two, 1H26 margin would be 80.4%, up 1.1pp.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Two-thirds of 2025 growth was bought; in 1H26 currency and inflation explain more than half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Segments split multiplicatively (real × inflation × FX) from local-currency growth (Chile 6.1%, Peru 7.9%, Colombia 7.3%); consolidated weighted by FY2025 revenue. Source: Plaza S.A. interim financial statements (CMF), Note 24; UF (SII/BCCh); Bloomberg FX; INEI; DANE; Team analysis.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covers the dividend 2.6x; the ceiling is policy, not liquidity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Operating cash flow rose from CLP 301bn in 2024 to CLP 441bn in 2025, converting 98.7% of EBITDA before tax. Cash tax was only 15% of operating profit, sheltered by tax goodwill from Chilean reorganizations and loss carry-forwards (Note 13), and will rise toward the 27% statutory rate. After capex and net interest, free cash flow before debt service was CLP 280bn, covering dividends 2.6x (Figure 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The 38.6% jump in 1H26 operating cash flow is not earnings power: 59% of it was December collections unwinding through working capital. Receivable days fell from 66 to 50, with no sign of weaker collection.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Capex is stepping up. Contractual investment commitments rose to CLP 78bn at June 2026 from CLP 18bn in December 2025, and 1H26 property capex was CLP 81bn (+176%). The base case funds USD 445m of remaining pipeline over 2026–2028 and then keeps adding about 27,000 m² of GLA a year, the 2022–2025 organic pace, so capex settles near 16% of revenue rather than the 5.5% maintenance floor (Figure 7).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Free cash flow covers dividends 1.5–2.6x even as capex rises (FY2025, CLP bn)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Cash flow statement (direct method; interest paid in financing). FCF before debt repayment. Capex = investment property + intangibles + PP&amp;E (15.8% of revenue in 2025; 24.8% in 1H26). Source: Plaza S.A. financial statements (CMF); Team analysis.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Cash-flow metrics earn the AAA; equity-based ratios flatter it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LTV fell from 26.9% to 18.8% in 2025, but 5.0pp of the 8.0pp drop came from revaluing the denominator; with property at 2024 value plus additions, LTV would have been 23.8% (Figure 5). Cash-flow metrics are the honest lens and support Feller Rate's upgrade to AAA (25 September 2026): net debt/EBITDA fell from 3.78x to 2.36x on June 2026 LTM EBITDA (the 2024 figure includes only one month of Peru), and EBITDA covers financial costs 8.4x.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Gross debt of CLP 1,633bn is 79% UF, 14% PEN and 7% COP, matching revenue currencies; 95% is long term, with a 6.6-year duration. The UF bonds carry a 3.36% real coupon (3.48% effective), but with UF indexation the all-in nominal cost was about 7% in 2025. Maturities cluster in 2029, 2031 and 2033 (Figure 6); refinancing series S (1.32% effective) at the latest issue's 4.33% would add about CLP 4.9bn a year. Liquidity is ample: at June 2026 the current ratio was 2.50x and cash covered current liabilities 1.71x.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Our base case spends that headroom. Net debt/EBITDA converges linearly from 2.36x to 3.5x by end-2031E, between Cencosud Shopping (2.1x) and Parque Arauco (5.7x), and each extra turn adds 25bp to the real cost of debt. Cash beyond the 40% payout and the capex plan is returned through buybacks or special dividends, CLP 1.8tn cumulatively over 2H26E–2031E (Appendix 5). At 3.5x the new AAA would likely come under pressure.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Two-thirds of the 2025 fall in LTV is revaluation, not deleveraging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466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net financial debt / investment property. Debt &amp; additions = LTV with property at 2024 value plus 2025 additions (23.8%). Jun-26 ratios on LTM EBITDA. Source: Plaza S.A. financial statements (CMF), Notes 11 and 26; MD&amp;A 2025 and 1H26; Team analysis.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Refinancing risk sits in 2029, 2031 and 2033, not in the near term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UF bonds, book value Dec-25 (total CLP 1,277.7bn); label = effective real rate (two-series years: book-value-weighted). Excludes CLP 301.6bn of PEN/COP bank debt. Source: Plaza S.A. financial statements Dec-25, Note 14; Team analysis.</w:t>
            </w:r>
          </w:p>
        </w:tc>
      </w:tr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The forecast carries forward what history supports, including the pace of expansion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Revenue grows 7.7% in 2026E and 5.0% in 2031E (2026E–2031E CAGR 6.4%), as real same-store growth converges to the appraisal midpoints, 123,700 m² of dated pipeline matures and, from 2029E, about 27,000 m² a year opens at the historical pace (Figure 7); 2026E and 2027E revenue sit within 0.6% of consensus. EBITDA margin stays at 79.7–79.8%, below the 2025 peak. Cash tax normalizes from 16.8% to 27% by 2030E and financial costs rise with leverage, so FFO margin slides from 60.9% to 52.2%. Working capital is held at 15.6% of revenue, the December 2025 level (Appendix 1). New GLA yields 6.9% on cost, a 5.0% real return after tax against a 7.2% real WACC: expansion adds revenue but not value.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After the pipeline, expansion keeps capex near CLP 150bn a year while leverage rebuilds to 3.5x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includes CLP 84.2bn spent in 1H26; 2024A leverage includes one month of Peru EBITDA. Source: Plaza S.A. financial statements (CMF); 2Q26 results release (pipeline); valuation base case (Appendices 1 and 5).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APPENDIX: 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Forecast assumptions (nominal CLP,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Driver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Assumption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Basis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2026E anchor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actual + 2H26E repeating 1H26 local-currency growth (Chile 6.1%, Peru 7.9%, Colombia 7.3%)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Interim FS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Inflation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CPI 2026–28; central-bank targets from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Leases indexed to UF/CPI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Real same-store growth (ex-parking)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1.5% → 0.6%; Peru 1.5% → 0.4%; Colombia 2.5% → 2.1%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Midpoints of company appraisal ranges (Note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Occupancy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96.1%, Colombia 97.5% flat; Peru 93.8% → 94.6% by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actual; Peru back to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12.1% / 6.4% / 9.0% of 2026 revenue; real growth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 (LTM +23.7%)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Pipeline GLA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8,900 m² (2026), 72,950 m² (2027), 41,850 m² (2028); ramp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projects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Post-2028 expansion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27,075 m² a year opening from 2029E (55% Chile / 45% Peru); USD 3,603/m² indexed to CPI, spent 50% in t−2 and 50% in t−1; 80.9% EBITDA margin; 6.9% yield on cost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Average organic GLA 2022, 2023, 2025; pipeline cost per m²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Consensus year-end 2026–28; purchasing-power parity thereafter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 Oct 2026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EBITDA margin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Peru 82%, Colombia 74% (≈ 79.7% consolidated)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2024–LTM 2Q26; 2025 peak not extrapolated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0.70%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LTM 2Q26 (4.8 / 677.3)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Cash tax rate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16.8% (2026E) → 19% → 21.5%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current tax; shields run off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Project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445m remaining at Jun-26, spread to final opening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2Q26 release,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Maintenance + IT capex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5.5% of revenue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(4.8%) – LTM 2Q26 (~6.6%)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Working capital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operating working capital at 15.6% of revenue (Dec-25); 2026E covers 2H26E only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FS Dec-25, first year-end with full Peru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Leverage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debt / EBITDA 2.36x (Jun-26) → 3.5x by Dec-31E, linear; cash above the plan returned via buybacks or special dividends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Team assumption; peers 2.1x–5.7x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 of debt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Net financial cost 3.08% of opening net debt + 25bp real per turn of leverage above 2.36x; UF indexation on 79% of debt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1H26 annualized; team assumption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Excluded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0.7m LTM vs 55.2m in 2023), Gran Plaza; undated Chile projects replaced by the post-2028 expansion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No date or immaterial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of distributable profit, one-year lag, plus the additional distributions above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Board policy (Note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reported · C team calculation · S team assumption · P market consensus. Source: Plaza S.A. financial statements (CMF); 2Q26 results release; Bloomberg ECFC;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Summary financial statements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Income statement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(company definition)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(2.1)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gains &amp; other op. items, net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1,445.4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1,190.4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1,968.1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1,730.6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financial cost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(44.9)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UF indexation of debt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(53.2)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(43.8)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(50.4)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Net income attributable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1,431.0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1,258.1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attributable (company)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 sheet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Dec-25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and equivalents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179.2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Investment property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4,166.5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6,961.9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7,309.8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assets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4,796.3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5,915.1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7,583.6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7,985.7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Gross financial debt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1,264.0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1,617.6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1,579.3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1,633.4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Deferred tax liabilities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656.5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1,248.8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1,313.7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Equity attributable to owners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2,601.1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3,157.9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4,482.9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4,820.9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1H26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cash flow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441.1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(119.1)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Acquisitions incl. minorities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Equity issued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308.4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borrowing / (repayment)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Interest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(55.6)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(54.4)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(68.2)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Dividends paid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(0.0)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(125.8)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(108.5)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(87.6)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LTM = FY2025 − 1H25 + 1H26. 2024 as restated in Dec-25; 2022A from restated Dec-23 statements; 2022 financing lines not in the files used. Source: Plaza S.A. financial statements (CMF) Dec-24, Dec-25,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Ratio dashboard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normalized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at 27%, IC at fair value)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Current ratio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/ current liabilities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Total liabilities / equity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(net debt / inv. property)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26.9%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17.6%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financial costs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 turnover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costs / revenue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23.5%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20.1%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Receivable days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n.m.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Jun-26 leverage on LTM EBITDA; operating costs = cost of sales + admin (1H26). Dec-24 receivable days n.m. (Peru consolidated one month). Jun-26 returns need the Jun-25 balance sheet. Source: Plaza S.A. financial statements (CMF); MD&amp;A 1H26;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EBITDA we use is the company's: fair-value gains are removed once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LTM 2Q26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Operating income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515.9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1,971.7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1,735.4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Other op. income (mostly fair value)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(85.4)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(195.6)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(162.5)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(1,448.9)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(1,194.5)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Other op. expenses (non-recurring)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EBITDA, adjusted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282.7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380.6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526.2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Check vs company EBITDA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0.0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Bloomberg's EBITDA field includes fair-value gains and is not used. Source: Plaza S.A. financial statements (CMF), Notes 23.1–23.3; 2Q26 release;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Base-case projection (CLP bn)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bn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Peru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159.8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171.6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96.8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Revenue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11.7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Revenue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915.9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Growth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561.3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654.2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766.9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margin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724.1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760.1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Cash tax rate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21.5%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24.0%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maintenance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(151.5)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(49.7)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(51.7)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post-2028 expansion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(98.2)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(104.2)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working capital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(9.9)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(8.3)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(7.1)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473.1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481.5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482.3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Distributable profit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380.0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427.7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434.4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436.9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431.6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444.6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Ordinary dividends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(147.7)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(173.8)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(174.8)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(172.6)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Additional distributions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(268.0)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(380.1)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(378.6)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(404.8)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3.50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1H26 actual + 2H26E; capex includes CLP 84.2bn spent in 1H26; Δ working capital and additional distributions cover 2H26E only. FFO = (EBITDA − net financial cost) × (1 − cash tax), before minorities (~1%); distributable profit = FFO − UF indexation. Source: valuation workbook v2 (DCF, Deuda and Expansion sheets); Team analysis.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Like-for-like, Mallplaza earns the highest normalized ROE of its local peers (FY2025)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Fair-value gain / opening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27.0%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investment property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37.5%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10.5%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normalized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9.7%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7.8%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8.0%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18.8%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42.9%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16.3%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Net debt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Assets / equity attributable, YE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2.69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normalized on audited distributable profit; peers on net income − fair-value gains × (1 − 27%). Parque Arauco property excludes JVs, overstating its LTV. Source: Plaza S.A. financial statements (CMF); Bloomberg FA as-reported (PARAUCO CI, CENCOMAL CI; export 28 Sep 2026); Team analysis.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34cf5efedec970dddabf7ad7f0397fa946dde7af.png"/><Relationship Id="rId12" Type="http://schemas.openxmlformats.org/officeDocument/2006/relationships/image" Target="media/67d3af205c0720abae927a295402b8173067a71d.png"/><Relationship Id="rId13" Type="http://schemas.openxmlformats.org/officeDocument/2006/relationships/image" Target="media/0ecdedf336d9450fef0f4340e7d2f3445bf5d5ea.png"/><Relationship Id="rId14" Type="http://schemas.openxmlformats.org/officeDocument/2006/relationships/image" Target="media/4cbfe873e08915d739ee676824e9b06fd69f29b1.png"/><Relationship Id="rId15" Type="http://schemas.openxmlformats.org/officeDocument/2006/relationships/image" Target="media/4f20b19141be8194cee293276253569fd398adb5.png"/><Relationship Id="rId16" Type="http://schemas.openxmlformats.org/officeDocument/2006/relationships/image" Target="media/17b709a2968ffc75a90b1ca67228cef541dac59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2026-10-14T14:04:08.168Z</dcterms:created>
  <dcterms:modified xsi:type="dcterms:W3CDTF">2026-10-14T14:04:08.168Z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