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Mallplaza's cash flows are highly predictable: 81.4% of LTM revenue is rent and 93% of that is fixed. Multiples (20%) test the model against what the market pays today; we cap their weight because Chile has only two direct peers (Parque Arauco and Cencosud Shopping) and because multiples do not capture Mallplaza's GLA expansion or debt path, which the DCF does.</w:t>
            </w:r>
          </w:p>
          <w:p>
            <w:pPr>
              <w:pBdr>
                <w:bottom w:val="single" w:color="E9004B" w:sz="8" w:space="1"/>
              </w:pBdr>
              <w:spacing w:after="50" w:before="90"/>
            </w:pPr>
            <w:r>
              <w:rPr>
                <w:rFonts w:ascii="Arial" w:cs="Arial" w:eastAsia="Arial" w:hAnsi="Arial"/>
                <w:b/>
                <w:bCs/>
                <w:color w:val="14284B"/>
                <w:sz w:val="16"/>
                <w:szCs w:val="16"/>
              </w:rPr>
              <w:t xml:space="preserve">DCF: STRUCTURE AND DISCOUNT RATE</w:t>
            </w:r>
          </w:p>
          <w:p>
            <w:pPr>
              <w:spacing w:after="60" w:before="0" w:line="228" w:lineRule="auto"/>
              <w:jc w:val="both"/>
            </w:pPr>
            <w:r>
              <w:rPr>
                <w:rFonts w:ascii="Arial" w:cs="Arial" w:eastAsia="Arial" w:hAnsi="Arial"/>
                <w:color w:val="1A1A1A"/>
                <w:sz w:val="16"/>
                <w:szCs w:val="16"/>
              </w:rPr>
              <w:t xml:space="preserve">We value FCFF in two stages, in nominal CLP, at 30-Jun-26 with the mid-year convention. The explicit stage (2H26E–2031E) includes the capex and ramp-up of projects opening through 2032 (108,301 m² of mature GLA in the terminal year). From 2032, a Gordon perpetuity accounts for 76% of EV, with no new net GLA and maintenance capex only (Appendix [B]).</w:t>
            </w:r>
          </w:p>
          <w:p>
            <w:pPr>
              <w:spacing w:after="60" w:before="0" w:line="228" w:lineRule="auto"/>
              <w:jc w:val="both"/>
            </w:pPr>
            <w:r>
              <w:rPr>
                <w:rFonts w:ascii="Arial" w:cs="Arial" w:eastAsia="Arial" w:hAnsi="Arial"/>
                <w:b/>
                <w:bCs/>
                <w:color w:val="14284B"/>
                <w:sz w:val="16"/>
                <w:szCs w:val="16"/>
              </w:rPr>
              <w:t xml:space="preserve">Value decomposition. </w:t>
            </w:r>
            <w:r>
              <w:rPr>
                <w:rFonts w:ascii="Arial" w:cs="Arial" w:eastAsia="Arial" w:hAnsi="Arial"/>
                <w:color w:val="1A1A1A"/>
                <w:sz w:val="16"/>
                <w:szCs w:val="16"/>
              </w:rPr>
              <w:t xml:space="preserve">The CLP 1,857 per share is CLP 583 of explicit cash flows plus CLP 1,884 of terminal value, less CLP 587 of net debt and CLP 23 of minorities: the result depends mostly on the terminal WACC and g.</w:t>
            </w:r>
          </w:p>
          <w:p>
            <w:pPr>
              <w:spacing w:after="60" w:before="0" w:line="228" w:lineRule="auto"/>
              <w:jc w:val="both"/>
            </w:pPr>
            <w:r>
              <w:rPr>
                <w:rFonts w:ascii="Arial" w:cs="Arial" w:eastAsia="Arial" w:hAnsi="Arial"/>
                <w:b/>
                <w:bCs/>
                <w:color w:val="14284B"/>
                <w:sz w:val="16"/>
                <w:szCs w:val="16"/>
              </w:rPr>
              <w:t xml:space="preserve">WACC. </w:t>
            </w:r>
            <w:r>
              <w:rPr>
                <w:rFonts w:ascii="Arial" w:cs="Arial" w:eastAsia="Arial" w:hAnsi="Arial"/>
                <w:color w:val="1A1A1A"/>
                <w:sz w:val="16"/>
                <w:szCs w:val="16"/>
              </w:rPr>
              <w:t xml:space="preserve">It changes by period as net debt/EBITDA converges from 2.36x to 3.5x by 2031: 10.54% in 2H26E and 10.41% in the terminal period (7.32% and 7.20% real). Ke is computed in USD and converted to CLP with the inflation differential: Rf 4.98% + beta 1.14 × ERP 4.14% + CRP 1.41% = 11.10% (11.93% in CLP, terminal). The beta relevers the six-peer median (0.94) and the CRP weights country risk by revenue (71.8% Chile). Kd starts from the latest UF bond coupon (3.6% real) plus 25 bp per turn of leverage above 2.36x: 4.92% after tax in 2H26E and 5.11% in the terminal period. At CLP 3,555, equity yields almost the same as that debt (Figure 28; details in Appendix [Z]).</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company uses its debt capacity to grow, as in 2024 (3.78x after buying Open Plaza Peru): net debt/EBITDA rises from 2.36x to 3.5x by 2031, and new debt (CLP 1.40 trillion) funds all of the period's capex (CLP 1.11 trillion). Operating cash is distributed to shareholders (dividends plus CLP 1.79 trillion of additional distributions). Debt is cheaper than equity (Kd ~5% vs Ke ~12%) and creates a tax shield (Appendix [D]).</w:t>
            </w:r>
          </w:p>
          <w:p>
            <w:pPr>
              <w:pBdr>
                <w:bottom w:val="single" w:color="E9004B" w:sz="8" w:space="1"/>
              </w:pBdr>
              <w:spacing w:after="50" w:before="90"/>
            </w:pPr>
            <w:r>
              <w:rPr>
                <w:rFonts w:ascii="Arial" w:cs="Arial" w:eastAsia="Arial" w:hAnsi="Arial"/>
                <w:b/>
                <w:bCs/>
                <w:color w:val="14284B"/>
                <w:sz w:val="16"/>
                <w:szCs w:val="16"/>
              </w:rPr>
              <w:t xml:space="preserve">DCF: OPERATING FORECAST</w:t>
            </w:r>
          </w:p>
          <w:p>
            <w:pPr>
              <w:spacing w:after="60" w:before="0" w:line="228" w:lineRule="auto"/>
              <w:jc w:val="both"/>
            </w:pPr>
            <w:r>
              <w:rPr>
                <w:rFonts w:ascii="Arial" w:cs="Arial" w:eastAsia="Arial" w:hAnsi="Arial"/>
                <w:color w:val="1A1A1A"/>
                <w:sz w:val="16"/>
                <w:szCs w:val="16"/>
              </w:rPr>
              <w:t xml:space="preserve">Reported EBITDA (CLP 544,935 million LTM, 80.5% margin) excludes property revaluation (IAS 40); we forecast a 79.8% margin through 2031E. The operating tax rate rises from 16.8% in 2026E to 27% in 2030E as existing benefits fade. Base capex (pipeline plus maintenance at 5.5% of revenue) peaks at CLP 240,660 million in 2027 and falls to ~CLP 50,000 million from 2029. From 2029, 27,075 m² also open each year (historical average), with capex of CLP 95,000–104,000 million a year, a 35%/90%/100% ramp and a 6.9% yield on cost, at the cost of the identified pipeline (USD 3,603/m²: 170,200 m² and USD 613.2 million). Working capital (15.6% × Δ revenue) requires CLP 7,100–9,900 million a year and moves the price by only ±1.2% (Appendix [C]).</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color w:val="1A1A1A"/>
                <w:sz w:val="16"/>
                <w:szCs w:val="16"/>
              </w:rPr>
              <w:t xml:space="preserve">We use g = 3.0% nominal (0% real). The real RONIC on expansion (5.0%) is below the real WACC (7.2%): growing beyond the horizon destroys value and a higher g lowers it (Figure 29). The DCF implies a cap rate of 10.1% on EV and 11.3% on terminal value, versus 6.0% for the market, 6.4% for Chilean peers, 7.5% at book value and 5.55% for the appraisers (Note 11) (Figure 30). That gap is not an inconsistency: it is the core of the thesis. To justify the current price, the WACC would have to be 285 bp lower (Figure 31).</w:t>
            </w:r>
          </w:p>
          <w:p>
            <w:pPr>
              <w:spacing w:after="60" w:before="0" w:line="228" w:lineRule="auto"/>
              <w:jc w:val="both"/>
            </w:pPr>
            <w:r>
              <w:rPr>
                <w:rFonts w:ascii="Arial" w:cs="Arial" w:eastAsia="Arial" w:hAnsi="Arial"/>
                <w:b/>
                <w:bCs/>
                <w:color w:val="14284B"/>
                <w:sz w:val="16"/>
                <w:szCs w:val="16"/>
              </w:rPr>
              <w:t xml:space="preserve">What the price discounts. </w:t>
            </w:r>
            <w:r>
              <w:rPr>
                <w:rFonts w:ascii="Arial" w:cs="Arial" w:eastAsia="Arial" w:hAnsi="Arial"/>
                <w:color w:val="1A1A1A"/>
                <w:sz w:val="16"/>
                <w:szCs w:val="16"/>
              </w:rPr>
              <w:t xml:space="preserve">At CLP 3,555 the implied EV (CLP 9.12 trillion) is 69% above ours. Justifying it would require cash flows 69% higher forever or a WACC of ~4.4% real, just 80 bp above the company's real Kd (3.6%): almost no premium for equity. And since RONIC is below the WACC, more growth widens the gap.</w:t>
            </w:r>
          </w:p>
          <w:p>
            <w:pPr>
              <w:spacing w:after="60" w:before="0" w:line="228" w:lineRule="auto"/>
              <w:jc w:val="both"/>
            </w:pPr>
            <w:r>
              <w:rPr>
                <w:rFonts w:ascii="Arial" w:cs="Arial" w:eastAsia="Arial" w:hAnsi="Arial"/>
                <w:b/>
                <w:bCs/>
                <w:color w:val="14284B"/>
                <w:sz w:val="16"/>
                <w:szCs w:val="16"/>
              </w:rPr>
              <w:t xml:space="preserve">Book value and appraisers. </w:t>
            </w:r>
            <w:r>
              <w:rPr>
                <w:rFonts w:ascii="Arial" w:cs="Arial" w:eastAsia="Arial" w:hAnsi="Arial"/>
                <w:color w:val="1A1A1A"/>
                <w:sz w:val="16"/>
                <w:szCs w:val="16"/>
              </w:rPr>
              <w:t xml:space="preserve">Book equity (CLP 2,201 per share) already carries properties at fair value, appraised at ~5.55% real (Note 11). The market pays 1.61x that value, more than the appraisers (even allowing for deferred taxes); our target price implies 0.94x. Even at the appraisers' rate, the DCF would be CLP 2,660, 25% below the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p>
            <w:pPr>
              <w:spacing w:after="30" w:before="1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1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color w:val="1A1A1A"/>
                <w:sz w:val="16"/>
                <w:szCs w:val="16"/>
              </w:rPr>
              <w:t xml:space="preserve">The set is the same as for the beta: Parque Arauco and Cencosud Shopping (Chile), Allos, Multiplan and Iguatemi (Brazil) and IRSA (Argentina, used with caution because of IAS 29 and a single NTM analyst). We exclude Fibra Danhos, which as a FIBRA distributes 95% of its taxable income (Appendix [E]). Brazil trades at lower multiples because of its rates and risk premia (median 9.0x EV/EBITDA versus 15.7x in Chile; Figure 32). Since 71.8% of revenue comes from Chile, the multiple weights the Chilean median at 70% and the full-set median (11.1x) at 30%: 14.4x.</w:t>
            </w:r>
          </w:p>
          <w:p>
            <w:pPr>
              <w:spacing w:after="60" w:before="0" w:line="228" w:lineRule="auto"/>
              <w:jc w:val="both"/>
            </w:pPr>
            <w:r>
              <w:rPr>
                <w:rFonts w:ascii="Arial" w:cs="Arial" w:eastAsia="Arial" w:hAnsi="Arial"/>
                <w:color w:val="1A1A1A"/>
                <w:sz w:val="16"/>
                <w:szCs w:val="16"/>
              </w:rPr>
              <w:t xml:space="preserve">We use EV/EBITDA because it is neutral to leverage and to revaluation (IAS 40). At 14.4x, value is CLP 2,951 per share. Mallplaza trades at 16.8x LTM: 7% above the Chilean median, below Parque Arauco (18.4x) and 17% above the weighted multiple (Figure 33). We exclude P/E (CLP 8,644, distorted by revaluation). Multiples use Bloomberg net debt (CLP 1,311,569 million), as for peers; the DCF uses the company's net financial debt (CLP 1,285,740 million).</w:t>
            </w:r>
          </w:p>
          <w:p>
            <w:pPr>
              <w:spacing w:after="60" w:before="0" w:line="228" w:lineRule="auto"/>
              <w:jc w:val="both"/>
            </w:pPr>
            <w:r>
              <w:rPr>
                <w:rFonts w:ascii="Arial" w:cs="Arial" w:eastAsia="Arial" w:hAnsi="Arial"/>
                <w:b/>
                <w:bCs/>
                <w:color w:val="14284B"/>
                <w:sz w:val="16"/>
                <w:szCs w:val="16"/>
              </w:rPr>
              <w:t xml:space="preserve">Is the premium justified? </w:t>
            </w:r>
            <w:r>
              <w:rPr>
                <w:rFonts w:ascii="Arial" w:cs="Arial" w:eastAsia="Arial" w:hAnsi="Arial"/>
                <w:color w:val="1A1A1A"/>
                <w:sz w:val="16"/>
                <w:szCs w:val="16"/>
              </w:rPr>
              <w:t xml:space="preserve">Mallplaza trades 29% above Cencosud Shopping (13.0x), yet its EBITDA per m² is only 1.8% higher (CLP 59,451 vs 58,384 in 2Q26; see Industry). Only at Parque Arauco's multiple (18.4x) would the stock be worth more than its price (CLP 3,967), and Parque Arauco runs at 5.7x net debt/EBITDA with its own pipeline, which are not comparable. At Cencosud's multiple it would be worth CLP 2,621.</w:t>
            </w:r>
          </w:p>
          <w:p>
            <w:pPr>
              <w:spacing w:after="60" w:before="0" w:line="228" w:lineRule="auto"/>
              <w:jc w:val="both"/>
            </w:pPr>
            <w:r>
              <w:rPr>
                <w:rFonts w:ascii="Arial" w:cs="Arial" w:eastAsia="Arial" w:hAnsi="Arial"/>
                <w:b/>
                <w:bCs/>
                <w:color w:val="14284B"/>
                <w:sz w:val="16"/>
                <w:szCs w:val="16"/>
              </w:rPr>
              <w:t xml:space="preserve">The disagreement is about the rate, not the cash flows. </w:t>
            </w:r>
            <w:r>
              <w:rPr>
                <w:rFonts w:ascii="Arial" w:cs="Arial" w:eastAsia="Arial" w:hAnsi="Arial"/>
                <w:color w:val="1A1A1A"/>
                <w:sz w:val="16"/>
                <w:szCs w:val="16"/>
              </w:rPr>
              <w:t xml:space="preserve">The 13-analyst consensus forecasts NTM EBITDA of CLP 617,130 million, ~3% above our forecast for the same period (~CLP 598,850 million). Our cash flows are not more pessimistic than the market's: the value gap comes from the discount rate the price implies.</w:t>
            </w:r>
          </w:p>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the DCF ranges from CLP 1,379 to 2,329 (Figure 25; Appendix [F]), and the historical worst operating case takes 10.0% off (Figure 24). Every multiple sits below the price: EV/EBITDA LTM CLP 2,951 (−17%), NTM CLP 2,914 (−18%), EV/EBIT CLP 3,098 (−13%), P/BV CLP 3,171 (−11%) and the Chilean median alone CLP 3,294 (−7%) (Figure 27).</w:t>
            </w:r>
          </w:p>
          <w:p>
            <w:pPr>
              <w:spacing w:after="60" w:before="0" w:line="228" w:lineRule="auto"/>
              <w:jc w:val="both"/>
            </w:pPr>
            <w:r>
              <w:rPr>
                <w:rFonts w:ascii="Arial" w:cs="Arial" w:eastAsia="Arial" w:hAnsi="Arial"/>
                <w:b/>
                <w:bCs/>
                <w:color w:val="14284B"/>
                <w:sz w:val="16"/>
                <w:szCs w:val="16"/>
              </w:rPr>
              <w:t xml:space="preserve">Robustness. </w:t>
            </w:r>
            <w:r>
              <w:rPr>
                <w:rFonts w:ascii="Arial" w:cs="Arial" w:eastAsia="Arial" w:hAnsi="Arial"/>
                <w:color w:val="1A1A1A"/>
                <w:sz w:val="16"/>
                <w:szCs w:val="16"/>
              </w:rPr>
              <w:t xml:space="preserve">APV gives CLP 1,894 (2% above the DCF); with the peso bond as Rf, the target price rises to ~CLP 2,439 (−31%; Appendix [Z]); and with a net debt/EBITDA target between 2.36x and 4.0x, the DCF ranges from CLP 1,819 to 1,894.</w:t>
            </w:r>
          </w:p>
          <w:p>
            <w:pPr>
              <w:spacing w:after="60" w:before="0" w:line="228" w:lineRule="auto"/>
              <w:jc w:val="both"/>
            </w:pPr>
            <w:r>
              <w:rPr>
                <w:rFonts w:ascii="Arial" w:cs="Arial" w:eastAsia="Arial" w:hAnsi="Arial"/>
                <w:b/>
                <w:bCs/>
                <w:color w:val="14284B"/>
                <w:sz w:val="16"/>
                <w:szCs w:val="16"/>
              </w:rPr>
              <w:t xml:space="preserve">Scenarios. </w:t>
            </w:r>
            <w:r>
              <w:rPr>
                <w:rFonts w:ascii="Arial" w:cs="Arial" w:eastAsia="Arial" w:hAnsi="Arial"/>
                <w:color w:val="1A1A1A"/>
                <w:sz w:val="16"/>
                <w:szCs w:val="16"/>
              </w:rPr>
              <w:t xml:space="preserve">We combine the most favourable and most adverse assumptions. In the bull case a lower g raises value because RONIC is below the WACC. Neither the bull case nor the appraisers' rate reaches the price:</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1050"/>
              <w:gridCol w:w="3450"/>
              <w:gridCol w:w="750"/>
              <w:gridCol w:w="900"/>
              <w:gridCol w:w="7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Scenario</w:t>
                  </w:r>
                </w:p>
              </w:tc>
              <w:tc>
                <w:tcPr>
                  <w:tcW w:type="dxa" w:w="34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Assumptions</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EBITDA margin 75.8% (historical low)</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1,712</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w:t>
                  </w:r>
                </w:p>
              </w:tc>
            </w:tr>
            <w:tr>
              <w:tc>
                <w:tcPr>
                  <w:tcW w:type="dxa" w:w="10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34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 v2</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g 2.5%; margin 81.3% (high); 23% tax in Chile</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2,595</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10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Appraisers</w:t>
                  </w:r>
                </w:p>
              </w:tc>
              <w:tc>
                <w:tcPr>
                  <w:tcW w:type="dxa" w:w="34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8.72% (5.55% real, Note 11)</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2,719</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p>
            <w:pPr>
              <w:spacing w:after="60"/>
            </w:pP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 −41.6% return against CLP 3,555 (30-Sep-26). Rolling the DCF from 30-Jun to 30-Sep-26 would lift it to ~CLP 1,910 and the target to ~CLP 2,118 (−40.4%): the recommendation does not change.</w:t>
            </w:r>
          </w:p>
          <w:p>
            <w:pPr>
              <w:spacing w:after="60" w:before="0" w:line="228" w:lineRule="auto"/>
              <w:jc w:val="both"/>
            </w:pPr>
            <w:r>
              <w:rPr>
                <w:rFonts w:ascii="Arial" w:cs="Arial" w:eastAsia="Arial" w:hAnsi="Arial"/>
                <w:b/>
                <w:bCs/>
                <w:color w:val="14284B"/>
                <w:sz w:val="16"/>
                <w:szCs w:val="16"/>
              </w:rPr>
              <w:t xml:space="preserve">Total return and implied metrics. </w:t>
            </w:r>
            <w:r>
              <w:rPr>
                <w:rFonts w:ascii="Arial" w:cs="Arial" w:eastAsia="Arial" w:hAnsi="Arial"/>
                <w:color w:val="1A1A1A"/>
                <w:sz w:val="16"/>
                <w:szCs w:val="16"/>
              </w:rPr>
              <w:t xml:space="preserve">With an expected dividend of ~CLP 69 per share (2.0% yield), the expected total return is −39.7%. The target price implies 10.8x LTM EV/EBITDA, a 9.3% cap rate and 0.94x book value, versus 16.7x, 6.0% and 1.61x at the current price.</w:t>
            </w:r>
          </w:p>
          <w:p>
            <w:pPr>
              <w:spacing w:after="60" w:before="0" w:line="228" w:lineRule="auto"/>
              <w:jc w:val="both"/>
            </w:pPr>
            <w:r>
              <w:rPr>
                <w:rFonts w:ascii="Arial" w:cs="Arial" w:eastAsia="Arial" w:hAnsi="Arial"/>
                <w:b/>
                <w:bCs/>
                <w:color w:val="14284B"/>
                <w:sz w:val="16"/>
                <w:szCs w:val="16"/>
              </w:rPr>
              <w:t xml:space="preserve">Catalysts. </w:t>
            </w:r>
            <w:r>
              <w:rPr>
                <w:rFonts w:ascii="Arial" w:cs="Arial" w:eastAsia="Arial" w:hAnsi="Arial"/>
                <w:color w:val="1A1A1A"/>
                <w:sz w:val="16"/>
                <w:szCs w:val="16"/>
              </w:rPr>
              <w:t xml:space="preserve">The 10Y UST at 5.22%, its highest since 2002, and Fed hikes put pressure on market cap rates (Investment Risks, FR1). Each appraisal update at higher rates brings book value closer to our DCF and removes support for the current multiple.</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sustained compression of cap rates on stronger institutional demand for defensive assets, or a structural premium for Mallplaza's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The market pays 6.0%; our cash flows are worth 10.1%</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1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The price requires a WACC 285 bp lower</w:t>
            </w:r>
          </w:p>
          <w:p>
            <w:pPr>
              <w:spacing w:after="20" w:before="0"/>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p>
            <w:pPr>
              <w:spacing w:after="30" w:before="1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12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Value implied by each peer's multiple vs DCF and price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e78b17cbe4994957e6ba45239af4e36fc468c599.png"/><Relationship Id="rId15" Type="http://schemas.openxmlformats.org/officeDocument/2006/relationships/image" Target="media/eb51e0d291817a3d17c0d21bcf3419fbdc2ff4ba.png"/><Relationship Id="rId16" Type="http://schemas.openxmlformats.org/officeDocument/2006/relationships/image" Target="media/15174e0c0541fb78328ffe3fccdbfc912de62327.png"/><Relationship Id="rId17" Type="http://schemas.openxmlformats.org/officeDocument/2006/relationships/image" Target="media/fc24481a50aecaf97af890d023f9924ac8672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2026-10-14T02:29:58.510Z</dcterms:created>
  <dcterms:modified xsi:type="dcterms:W3CDTF">2026-10-14T02:29:58.510Z</dcterms:modified>
</cp:coreProperties>
</file>

<file path=docProps/custom.xml><?xml version="1.0" encoding="utf-8"?>
<Properties xmlns="http://schemas.openxmlformats.org/officeDocument/2006/custom-properties" xmlns:vt="http://schemas.openxmlformats.org/officeDocument/2006/docPropsVTypes"/>
</file>