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[B]: DISCOUNTED CASH FLOW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in nominal CLP from 30-Jun-26, with the mid-period convention and each period's WACC (Appendix [Z]). Terminal value uses 2032E FCFF with 3.0% nominal g (0% real, no reinvestment because RONIC is below the real WACC) and the 10.41% terminal WACC, and includes 108,301 m² of GLA maturing after 2031. It accounts for 76% of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FREE CASH FLOW TO THE FIRM BY PERIOD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870,098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915,888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961,340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1,007,657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654,236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694,005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730,578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766,858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804,002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margin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239,763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490,829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509,043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522,791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528,617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554,868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581,746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capex (pipeline + maintenance)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−124,994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−240,660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−151,495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−47,682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−49,731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−55,421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capex / terminal reinvestment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−46,268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−95,313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−98,172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−101,117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−104,151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−3,908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−9,859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−4,580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113,426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199,440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259,688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377,068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398,716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528,835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of the period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Discount factor (mid-period)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PV of FCFF / of terminal value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110,620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180,452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212,644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278,200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253,058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242,325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4,125,700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FROM ENTERPRISE VALUE TO VALUE PER SHARE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Item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million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explicit FCFF (2H26E–2031E)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1,277,299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terminal value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4,125,700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Enterprise value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5,402,999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Net financial debt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−1,285,740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Minorities (book)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−50,841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Equity value / per share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4,066,418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DCF VALUE SENSITIVITY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4.0%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Terminal value at 31-Dec-31: CLP 7,133,037 million (implied cap rate 10.1%; implied LTM EV/EBITDA 9.9x). 2H26E: half year. Source: model v2, DCF and Sensibilidad sheets; 2,190 million shares.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[C]: FORECAST ASSUMPTIONS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The base forecast follows the team's operating engine (announced pipeline to 2028); from 2029 a continuous expansion is added at the historical opening pace. 2026E revenue is calendar-year; the 2H26E period deducts actual 1H26 (CLP 339,530 million of revenue).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REVENUE, CAPEX AND WORKING CAPITAL FORECAST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(calendar year)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703,999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866,952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904,203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939,524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 growth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revenue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 margin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 (USD million)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113.6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215.1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116.3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Average USDCLP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105,634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198,465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106,367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 (5.5% of revenue)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45,128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Total base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124,994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240,660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151,495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95,313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cost per m² (CLP million, CPI)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CONTINUOUS EXPANSION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New GLA per year from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27,075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Basis: organic average 2022, 2023 and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30,458 / 38,618 / 12,150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under way (2Q26 release)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613.2 million / 170,200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 per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3,603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disbursement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in t−2 / 50% in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Revenue ramp (year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Chile / Peru mix;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54.9% / 45.1%;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real after-tax RONIC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6.9% / 5.0%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OPERATIONS, CAPITAL AND TERMINAL VALUE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2Q26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80.5%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5.5% of revenue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revenue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Cash tax rate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16.8%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Net working capital / revenue (Dec-25)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Receivables / advance rents (Dec-25, CLP million)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122,370 / 20,247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Nominal (real) terminal g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3.0% (0.0%)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Target net debt/EBITDA; real Kd per turn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3.5x in 2031; +25 bp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on distributable income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model v2, Forecast_Base, Expansion, Capital_Trabajo and Supuestos sheets (2Q26 release; Dec-25 financial statements;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[E]: COMPARABLE MULTIPLES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We use the same peer set as the WACC beta. LTM EV/EBITDA is the main method (neutral to leverage and to IAS 40 revaluation); the multiple weights the Chilean median at 70% and the common-set median at 30%. P/E and P/BV mix fair-value and cost-basis peers: reference only. Price at 30-Sep-26; Bloomberg net debt and FX at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PEERS (CLP MILLION; MULTIPLES IN TIMES)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LTM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LTM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LTM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7,785,450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9,147,860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544,935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3,440,408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5,429,487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3,710,183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4,569,181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350,561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2,907,890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3,796,907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421,296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2,656,188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3,895,017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388,839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1,381,190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1,763,277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1,140,416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1,789,191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145,686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(excluded)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2,383,999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3,157,944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277,625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Common-set median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median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VALUE BY MULTIPLE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Weighted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Metric (CLP mn)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LTM (main)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544,935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617,130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LTM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540,373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LTM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1,258,053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8,644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4,820,898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SENSITIVITY TO THE WEIGHTING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Chile weight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Mult. value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+3.3%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−2.2%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−4.4%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11.1x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−7.7%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Bridge: 14.36x × LTM EBITDA of CLP 544,935 million = EV 7,825,944 − Bloomberg net debt 1,311,569 − minorities 50,841 = CLP 2,951 per share (2,190 million shares). Fibra Danhos is excluded for its FIBRA regime and because it has no beta in the WACC; IRSA reports under IAS 29. Source: Bloomberg; model v2, Comparables and Precio_Objetivo sheets;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[F]: SCENARIOS AND ROBUSTNESS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No scenario or alternative method reaches the CLP 3,555 price. Scenarios are computed with the DCF v2 replica (which reproduces the base value exactly), and the target keeps the 80% DCF weight and the CLP 2,951 multiples value.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Target price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price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bp in every period; EBITDA margin 75.8% (historical low) instead of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 v2: WACC 10.54% → 10.41%; g 3.0%; margin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−41.6%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bp; g 2.5%; margin 81.3% (historical high); cash tax capped at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−26.1%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Appraisers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8.72% (5.55% real, Note 11) in every period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−23.5%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ALTERNATIVE METHODS AND INPUTS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Test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11.11%): unlevered value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tax shields of debt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per share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−40.8%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peso bond 5.43% (WACC −107 bp)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−31.4%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constant WACC 10.37%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implied by the price: 7.56%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DEBT TARGET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ND/EBITDA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bp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2.36x (current)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bull: EBITDA margin at the historical low/high (4Q23 and 3Q25 earnings releases) in every year; the bull case does not recompute the WACC tax shield. Source: DCF v2 replica (riesgos/graficos/tornado_operacional.py); model v2, APV, Sensibilidad (table 2, static) and DCF sheets; Figuras_Valuacion, WACC_Construccion and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v2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2,439,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v2 replica with the WACC shifted in every period.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87ead589840fa585f367b9fb74310fee03f7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2026-10-17T17:12:00.921Z</dcterms:created>
  <dcterms:modified xsi:type="dcterms:W3CDTF">2026-10-17T17:12:00.921Z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