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 METHOD REACHES</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In twelve months the stock rose from CLP 2,470 to 4,700 and now trades at CLP 3,555. None of our methods reaches that price: the DCF ranges from CLP 1,379 to 2,329 even with WACC ±100 bp and g between 2.5% and 4.0%</w:t>
            </w:r>
            <w:r>
              <w:rPr>
                <w:rFonts w:ascii="Arial" w:cs="Arial" w:eastAsia="Arial" w:hAnsi="Arial"/>
                <w:color w:val="1A1A1A"/>
                <w:sz w:val="16"/>
                <w:szCs w:val="16"/>
                <w:shd w:fill="ECB100" w:color="auto" w:val="clear"/>
              </w:rPr>
              <w:t xml:space="preserve"> (nominal)</w:t>
            </w:r>
            <w:r>
              <w:rPr>
                <w:rFonts w:ascii="Arial" w:cs="Arial" w:eastAsia="Arial" w:hAnsi="Arial"/>
                <w:color w:val="1A1A1A"/>
                <w:sz w:val="16"/>
                <w:szCs w:val="16"/>
              </w:rPr>
              <w:t xml:space="preserve">, and the most favourable multiples fall short too (Figure 27).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Figure 27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pBdr>
                <w:bottom w:val="single" w:color="E9004B" w:sz="8" w:space="1"/>
              </w:pBdr>
              <w:spacing w:after="50" w:before="90"/>
            </w:pPr>
            <w:r>
              <w:rPr>
                <w:rFonts w:ascii="Arial" w:cs="Arial" w:eastAsia="Arial" w:hAnsi="Arial"/>
                <w:b/>
                <w:bCs/>
                <w:color w:val="14284B"/>
                <w:sz w:val="16"/>
                <w:szCs w:val="16"/>
              </w:rPr>
              <w:t xml:space="preserve">THE STORY IS IN THE RATE</w:t>
            </w:r>
          </w:p>
          <w:p>
            <w:pPr>
              <w:spacing w:after="60" w:before="0" w:line="228" w:lineRule="auto"/>
              <w:jc w:val="both"/>
            </w:pPr>
            <w:r>
              <w:rPr>
                <w:rFonts w:ascii="Arial" w:cs="Arial" w:eastAsia="Arial" w:hAnsi="Arial"/>
                <w:color w:val="1A1A1A"/>
                <w:sz w:val="16"/>
                <w:szCs w:val="16"/>
              </w:rPr>
              <w:t xml:space="preserve">We project free cash flow to the firm in nominal CLP from 30-Jun-26, with an explicit horizon to 2031E and a terminal value that accounts for 76% of EV (Appendix [B]). The CLP 1,857 per share is CLP 583 of explicit cash flows and CLP 1,884 of terminal value, less CLP 610 of debt and minorities: the result depends, above all, on the discount rate.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w:t>
            </w:r>
            <w:r>
              <w:rPr>
                <w:rFonts w:ascii="Arial" w:cs="Arial" w:eastAsia="Arial" w:hAnsi="Arial"/>
                <w:color w:val="1A1A1A"/>
                <w:sz w:val="16"/>
                <w:szCs w:val="16"/>
                <w:shd w:fill="ECB100" w:color="auto" w:val="clear"/>
              </w:rPr>
              <w:t xml:space="preserve">11.93% nominal Ke (8.67% real; Rf 4.98%</w:t>
            </w:r>
            <w:r>
              <w:rPr>
                <w:rFonts w:ascii="Arial" w:cs="Arial" w:eastAsia="Arial" w:hAnsi="Arial"/>
                <w:color w:val="1A1A1A"/>
                <w:sz w:val="16"/>
                <w:szCs w:val="16"/>
              </w:rPr>
              <w:t xml:space="preserve">, relevered beta of 1.14 from a six-peer median of 0.94, ERP 4.14% and a 1.41% revenue-weighted CRP) and a </w:t>
            </w:r>
            <w:r>
              <w:rPr>
                <w:rFonts w:ascii="Arial" w:cs="Arial" w:eastAsia="Arial" w:hAnsi="Arial"/>
                <w:color w:val="1A1A1A"/>
                <w:sz w:val="16"/>
                <w:szCs w:val="16"/>
                <w:shd w:fill="ECB100" w:color="auto" w:val="clear"/>
              </w:rPr>
              <w:t xml:space="preserve">5.11% nominal after-tax Kd</w:t>
            </w:r>
            <w:r>
              <w:rPr>
                <w:rFonts w:ascii="Arial" w:cs="Arial" w:eastAsia="Arial" w:hAnsi="Arial"/>
                <w:color w:val="1A1A1A"/>
                <w:sz w:val="16"/>
                <w:szCs w:val="16"/>
              </w:rPr>
              <w:t xml:space="preserve"> based on the </w:t>
            </w:r>
            <w:r>
              <w:rPr>
                <w:rFonts w:ascii="Arial" w:cs="Arial" w:eastAsia="Arial" w:hAnsi="Arial"/>
                <w:color w:val="1A1A1A"/>
                <w:sz w:val="16"/>
                <w:szCs w:val="16"/>
                <w:shd w:fill="ECB100" w:color="auto" w:val="clear"/>
              </w:rPr>
              <w:t xml:space="preserve">3.6% real (UF) coupon</w:t>
            </w:r>
            <w:r>
              <w:rPr>
                <w:rFonts w:ascii="Arial" w:cs="Arial" w:eastAsia="Arial" w:hAnsi="Arial"/>
                <w:color w:val="1A1A1A"/>
                <w:sz w:val="16"/>
                <w:szCs w:val="16"/>
              </w:rPr>
              <w:t xml:space="preserve"> of the latest bond (Appendix [Z]).</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We build Ke in dollars because its three inputs are in that currency</w:t>
            </w:r>
            <w:r>
              <w:rPr>
                <w:rFonts w:ascii="Arial" w:cs="Arial" w:eastAsia="Arial" w:hAnsi="Arial"/>
                <w:color w:val="1A1A1A"/>
                <w:sz w:val="16"/>
                <w:szCs w:val="16"/>
                <w:shd w:fill="ECB100" w:color="auto" w:val="clear"/>
              </w:rPr>
              <w:t xml:space="preserve"> and are nominal</w:t>
            </w:r>
            <w:r>
              <w:rPr>
                <w:rFonts w:ascii="Arial" w:cs="Arial" w:eastAsia="Arial" w:hAnsi="Arial"/>
                <w:color w:val="1A1A1A"/>
                <w:sz w:val="16"/>
                <w:szCs w:val="16"/>
              </w:rPr>
              <w:t xml:space="preserve">: the US Treasury Rf, the implied equity risk premium published by Damodaran and country risk, which we weight by revenue. We then convert it to pesos with the gap between expected inflation in Chile (3.0%, the central bank's target) and in the US (2.24%, 10-year breakeven). </w:t>
            </w:r>
            <w:r>
              <w:rPr>
                <w:rFonts w:ascii="Arial" w:cs="Arial" w:eastAsia="Arial" w:hAnsi="Arial"/>
                <w:color w:val="1A1A1A"/>
                <w:sz w:val="16"/>
                <w:szCs w:val="16"/>
                <w:shd w:fill="ECB100" w:color="auto" w:val="clear"/>
              </w:rPr>
              <w:t xml:space="preserve">The beta is unlevered with Hamada (six regional peers) and relevered each period (1.09 in 2H26E, 1.14 in the terminal period).</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shd w:fill="ECB100" w:color="auto" w:val="clear"/>
              </w:rPr>
              <w:t xml:space="preserve">The first signal is the asset IRR, what the business earns for whoever buys it at CLP 3,555 if our cash flows come true: 7.57% nominal (4.44% real in UF), 284 bp below its WACC and just ~80 bp real above its real cost of debt (Figure 28).</w:t>
            </w:r>
          </w:p>
          <w:p>
            <w:pPr>
              <w:keepNext/>
              <w:spacing w:after="30" w:before="40" w:line="228" w:lineRule="auto"/>
            </w:pP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b/>
                <w:bCs/>
                <w:color w:val="14284B"/>
                <w:sz w:val="14"/>
                <w:szCs w:val="14"/>
                <w:shd w:fill="ECB100" w:color="auto" w:val="clear"/>
              </w:rPr>
              <w:t xml:space="preserve">Asset (firm) and new-project IRR vs WACC: nominal CLP and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Buying at the price of</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WACC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Gap nom./real</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shd w:fill="ECB100" w:color="auto" w:val="clear"/>
                    </w:rPr>
                    <w:t xml:space="preserve">Market: CLP 3,555</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7.57%</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4.44%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−284 / −276 bp</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Our target: CLP 2,076</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9.87%</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6.67%</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−54 / −53 bp</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Our DCF: CLP 1,857</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10.43%</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7.21%</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+2 / +2 bp</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New project: 1 m² (cohort)</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7.76%</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4.62%</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−265 / −257 bp</w:t>
                  </w:r>
                </w:p>
              </w:tc>
            </w:tr>
          </w:tbl>
          <w:p>
            <w:pPr>
              <w:spacing w:after="60" w:before="20" w:line="216" w:lineRule="auto"/>
              <w:jc w:val="both"/>
            </w:pPr>
            <w:r>
              <w:rPr>
                <w:rFonts w:ascii="Arial" w:cs="Arial" w:eastAsia="Arial" w:hAnsi="Arial"/>
                <w:color w:val="5F5F5F"/>
                <w:sz w:val="11"/>
                <w:szCs w:val="11"/>
                <w:shd w:fill="ECB100" w:color="auto" w:val="clear"/>
              </w:rPr>
              <w:t xml:space="preserve">Asset IRR: the single rate that equates FCFF and terminal value to the enterprise value paid. At the DCF value it equals the WACC. New project: cash flow of 1 m² with the expansion cost, ramp and margin, maintenance and working capital. Real = (1 + nom.) / (1 + 3.0%) − 1. Source: model v3, TIR_Implicita and TIR_Proyecto sheets.</w:t>
            </w:r>
          </w:p>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29</w:t>
            </w:r>
            <w:r>
              <w:rPr>
                <w:rFonts w:ascii="Arial" w:cs="Arial" w:eastAsia="Arial" w:hAnsi="Arial"/>
                <w:color w:val="1A1A1A"/>
                <w:sz w:val="16"/>
                <w:szCs w:val="16"/>
                <w:shd w:fill="ECB100" w:color="auto" w:val="clear"/>
              </w:rPr>
              <w:t xml:space="preserve">; Appendix [C]</w:t>
            </w:r>
            <w:r>
              <w:rPr>
                <w:rFonts w:ascii="Arial" w:cs="Arial" w:eastAsia="Arial" w:hAnsi="Arial"/>
                <w:color w:val="1A1A1A"/>
                <w:sz w:val="16"/>
                <w:szCs w:val="16"/>
              </w:rPr>
              <w:t xml:space="preserv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Two assumptions deserve explanation. The cash tax rate starts at 16.8% because the company currently uses tax goodwill and loss carry-forwards; we assume those shields run off and the rate reaches 27% by 2030.</w:t>
            </w:r>
            <w:r>
              <w:rPr>
                <w:rFonts w:ascii="Arial" w:cs="Arial" w:eastAsia="Arial" w:hAnsi="Arial"/>
                <w:color w:val="1A1A1A"/>
                <w:sz w:val="16"/>
                <w:szCs w:val="16"/>
                <w:shd w:fill="ECB100" w:color="auto" w:val="clear"/>
              </w:rPr>
              <w:t xml:space="preserve"> It is a real cash saving (it lowers current tax), not accounting: CLP 61 per share undiscounted; without it the target falls 2.1% (Figure 29).</w:t>
            </w:r>
            <w:r>
              <w:rPr>
                <w:rFonts w:ascii="Arial" w:cs="Arial" w:eastAsia="Arial" w:hAnsi="Arial"/>
                <w:color w:val="1A1A1A"/>
                <w:sz w:val="16"/>
                <w:szCs w:val="16"/>
              </w:rPr>
              <w:t xml:space="preserve"> And working capital grows with revenue, not with new m².</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The problem is the return on growth. Each new m² yields </w:t>
            </w:r>
            <w:r>
              <w:rPr>
                <w:rFonts w:ascii="Arial" w:cs="Arial" w:eastAsia="Arial" w:hAnsi="Arial"/>
                <w:color w:val="1A1A1A"/>
                <w:sz w:val="16"/>
                <w:szCs w:val="16"/>
                <w:shd w:fill="ECB100" w:color="auto" w:val="clear"/>
              </w:rPr>
              <w:t xml:space="preserve">6.9% real pre-tax</w:t>
            </w:r>
            <w:r>
              <w:rPr>
                <w:rFonts w:ascii="Arial" w:cs="Arial" w:eastAsia="Arial" w:hAnsi="Arial"/>
                <w:color w:val="1A1A1A"/>
                <w:sz w:val="16"/>
                <w:szCs w:val="16"/>
              </w:rPr>
              <w:t xml:space="preserve"> on cost, a 5.0% real RONIC after tax, below a 7.2% real WACC.</w:t>
            </w:r>
            <w:r>
              <w:rPr>
                <w:rFonts w:ascii="Arial" w:cs="Arial" w:eastAsia="Arial" w:hAnsi="Arial"/>
                <w:color w:val="1A1A1A"/>
                <w:sz w:val="16"/>
                <w:szCs w:val="16"/>
                <w:shd w:fill="ECB100" w:color="auto" w:val="clear"/>
              </w:rPr>
              <w:t xml:space="preserve"> The IRR of a new m² is 4.62% real (7.76% nominal), 257 bp below the WACC.</w:t>
            </w:r>
            <w:r>
              <w:rPr>
                <w:rFonts w:ascii="Arial" w:cs="Arial" w:eastAsia="Arial" w:hAnsi="Arial"/>
                <w:color w:val="1A1A1A"/>
                <w:sz w:val="16"/>
                <w:szCs w:val="16"/>
              </w:rPr>
              <w:t xml:space="preserve"> Expansion adds revenue but not value, so terminal value grows only with inflation (g of 3.0% nominal, 0% real) and a higher g lowers value (Figure 30). Assuming more growth would not close the gap with the price; it would widen it.</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 </w:t>
            </w:r>
            <w:r>
              <w:rPr>
                <w:rFonts w:ascii="Arial" w:cs="Arial" w:eastAsia="Arial" w:hAnsi="Arial"/>
                <w:color w:val="1A1A1A"/>
                <w:sz w:val="16"/>
                <w:szCs w:val="16"/>
                <w:shd w:fill="ECB100" w:color="auto" w:val="clear"/>
              </w:rPr>
              <w:t xml:space="preserve">At these returns, growing more would reduce its value.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intraday range (1-Oct-25 to 30-Sep-26; low 10-Oct-25, high 27-Apr-26). Source: Team analysis; Bloomberg.</w:t>
            </w:r>
          </w:p>
          <w:p>
            <w:pPr>
              <w:spacing w:after="30" w:before="90" w:line="228" w:lineRule="auto"/>
            </w:pPr>
            <w:r>
              <w:rPr>
                <w:rFonts w:ascii="Arial" w:cs="Arial" w:eastAsia="Arial" w:hAnsi="Arial"/>
                <w:b/>
                <w:bCs/>
                <w:color w:val="14284B"/>
                <w:sz w:val="14"/>
                <w:szCs w:val="14"/>
              </w:rPr>
              <w:t xml:space="preserve">Figure 28: </w:t>
            </w: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At CLP 3,555 the firm yields almost the same as its debt</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90" w:line="228" w:lineRule="auto"/>
            </w:pPr>
            <w:r>
              <w:rPr>
                <w:rFonts w:ascii="Arial" w:cs="Arial" w:eastAsia="Arial" w:hAnsi="Arial"/>
                <w:b/>
                <w:bCs/>
                <w:color w:val="14284B"/>
                <w:sz w:val="14"/>
                <w:szCs w:val="14"/>
              </w:rPr>
              <w:t xml:space="preserve">Figure 29: </w:t>
            </w: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With every strong assumption in its favor the target reaches CLP 2,928, still 18% below the price</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Cumulative waterfall in the order shown; the table gives each assumption on its own. Target price = 80% DCF + 20% multiples. Source: v3 DCF replica; Team analysis.</w:t>
            </w:r>
          </w:p>
          <w:p>
            <w:pPr>
              <w:spacing w:after="30" w:before="9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SIZE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w:t>
            </w:r>
            <w:r>
              <w:rPr>
                <w:rFonts w:ascii="Arial" w:cs="Arial" w:eastAsia="Arial" w:hAnsi="Arial"/>
                <w:color w:val="1A1A1A"/>
                <w:sz w:val="16"/>
                <w:szCs w:val="16"/>
                <w:shd w:fill="ECB100" w:color="auto" w:val="clear"/>
              </w:rPr>
              <w:t xml:space="preserve"> (EBITDA/EV yield; with UF-indexed rents it is compared with real rates)</w:t>
            </w:r>
            <w:r>
              <w:rPr>
                <w:rFonts w:ascii="Arial" w:cs="Arial" w:eastAsia="Arial" w:hAnsi="Arial"/>
                <w:color w:val="1A1A1A"/>
                <w:sz w:val="16"/>
                <w:szCs w:val="16"/>
              </w:rPr>
              <w:t xml:space="preserve"> over the local rate is similar in both countries, 385 bp in Chile and 302 bp in Brazil (Figure 31).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Macro explains the difference. At 30-Jun-26 Brazil had </w:t>
            </w:r>
            <w:r>
              <w:rPr>
                <w:rFonts w:ascii="Arial" w:cs="Arial" w:eastAsia="Arial" w:hAnsi="Arial"/>
                <w:color w:val="1A1A1A"/>
                <w:sz w:val="16"/>
                <w:szCs w:val="16"/>
                <w:shd w:fill="ECB100" w:color="auto" w:val="clear"/>
              </w:rPr>
              <w:t xml:space="preserve">a 14.25% nominal Selic</w:t>
            </w:r>
            <w:r>
              <w:rPr>
                <w:rFonts w:ascii="Arial" w:cs="Arial" w:eastAsia="Arial" w:hAnsi="Arial"/>
                <w:color w:val="1A1A1A"/>
                <w:sz w:val="16"/>
                <w:szCs w:val="16"/>
              </w:rPr>
              <w:t xml:space="preserve">, a 14.34% nominal 10-year bond and 5.3% expected 2026 inflation, against </w:t>
            </w:r>
            <w:r>
              <w:rPr>
                <w:rFonts w:ascii="Arial" w:cs="Arial" w:eastAsia="Arial" w:hAnsi="Arial"/>
                <w:color w:val="1A1A1A"/>
                <w:sz w:val="16"/>
                <w:szCs w:val="16"/>
                <w:shd w:fill="ECB100" w:color="auto" w:val="clear"/>
              </w:rPr>
              <w:t xml:space="preserve">a 4.5% nominal policy rate</w:t>
            </w:r>
            <w:r>
              <w:rPr>
                <w:rFonts w:ascii="Arial" w:cs="Arial" w:eastAsia="Arial" w:hAnsi="Arial"/>
                <w:color w:val="1A1A1A"/>
                <w:sz w:val="16"/>
                <w:szCs w:val="16"/>
              </w:rPr>
              <w:t xml:space="preserve">, a 5.43% nominal bond and 4.1% inflation in Chile, with similar </w:t>
            </w:r>
            <w:r>
              <w:rPr>
                <w:rFonts w:ascii="Arial" w:cs="Arial" w:eastAsia="Arial" w:hAnsi="Arial"/>
                <w:color w:val="1A1A1A"/>
                <w:sz w:val="16"/>
                <w:szCs w:val="16"/>
                <w:shd w:fill="ECB100" w:color="auto" w:val="clear"/>
              </w:rPr>
              <w:t xml:space="preserve">real GDP</w:t>
            </w:r>
            <w:r>
              <w:rPr>
                <w:rFonts w:ascii="Arial" w:cs="Arial" w:eastAsia="Arial" w:hAnsi="Arial"/>
                <w:color w:val="1A1A1A"/>
                <w:sz w:val="16"/>
                <w:szCs w:val="16"/>
              </w:rPr>
              <w:t xml:space="preserve">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spacing w:after="60" w:before="0" w:line="228" w:lineRule="auto"/>
              <w:jc w:val="both"/>
            </w:pPr>
            <w:r>
              <w:rPr>
                <w:rFonts w:ascii="Arial" w:cs="Arial" w:eastAsia="Arial" w:hAnsi="Arial"/>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spacing w:after="60" w:before="0" w:line="228" w:lineRule="auto"/>
              <w:jc w:val="both"/>
            </w:pPr>
            <w:r>
              <w:rPr>
                <w:rFonts w:ascii="Arial" w:cs="Arial" w:eastAsia="Arial" w:hAnsi="Arial"/>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32): multiples confirm the stock is expensive, and the DCF sets the size of the gap. We exclude P/E (CLP 8,644), distorted by property revaluation.</w:t>
            </w:r>
          </w:p>
          <w:p>
            <w:pPr>
              <w:spacing w:after="60" w:before="0" w:line="228" w:lineRule="auto"/>
              <w:jc w:val="both"/>
            </w:pPr>
            <w:r>
              <w:rPr>
                <w:rFonts w:ascii="Arial" w:cs="Arial" w:eastAsia="Arial" w:hAnsi="Arial"/>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The price implies an EV of CLP 9.12 trillion, 69% above ours, and </w:t>
            </w:r>
            <w:r>
              <w:rPr>
                <w:rFonts w:ascii="Arial" w:cs="Arial" w:eastAsia="Arial" w:hAnsi="Arial"/>
                <w:color w:val="1A1A1A"/>
                <w:sz w:val="16"/>
                <w:szCs w:val="16"/>
                <w:shd w:fill="ECB100" w:color="auto" w:val="clear"/>
              </w:rPr>
              <w:t xml:space="preserve">a real 6.0% cap rate</w:t>
            </w:r>
            <w:r>
              <w:rPr>
                <w:rFonts w:ascii="Arial" w:cs="Arial" w:eastAsia="Arial" w:hAnsi="Arial"/>
                <w:color w:val="1A1A1A"/>
                <w:sz w:val="16"/>
                <w:szCs w:val="16"/>
              </w:rPr>
              <w:t xml:space="preserve">, against 10.1% in our DCF, 6.4% for Chilean peers and 7.5% at book value (Figure 33). The market pays 1.61x an equity base already at fair value, appraised at </w:t>
            </w:r>
            <w:r>
              <w:rPr>
                <w:rFonts w:ascii="Arial" w:cs="Arial" w:eastAsia="Arial" w:hAnsi="Arial"/>
                <w:color w:val="1A1A1A"/>
                <w:sz w:val="16"/>
                <w:szCs w:val="16"/>
                <w:shd w:fill="ECB100" w:color="auto" w:val="clear"/>
              </w:rPr>
              <w:t xml:space="preserve">a real discount rate of ~5.55%</w:t>
            </w:r>
            <w:r>
              <w:rPr>
                <w:rFonts w:ascii="Arial" w:cs="Arial" w:eastAsia="Arial" w:hAnsi="Arial"/>
                <w:color w:val="1A1A1A"/>
                <w:sz w:val="16"/>
                <w:szCs w:val="16"/>
              </w:rPr>
              <w:t xml:space="preserve"> (Note 11)</w:t>
            </w:r>
            <w:r>
              <w:rPr>
                <w:rFonts w:ascii="Arial" w:cs="Arial" w:eastAsia="Arial" w:hAnsi="Arial"/>
                <w:color w:val="1A1A1A"/>
                <w:sz w:val="16"/>
                <w:szCs w:val="16"/>
                <w:shd w:fill="ECB100" w:color="auto" w:val="clear"/>
              </w:rPr>
              <w:t xml:space="preserve">; the real IRR the price leaves, 4.4%, is below that rate</w:t>
            </w:r>
            <w:r>
              <w:rPr>
                <w:rFonts w:ascii="Arial" w:cs="Arial" w:eastAsia="Arial" w:hAnsi="Arial"/>
                <w:color w:val="1A1A1A"/>
                <w:sz w:val="16"/>
                <w:szCs w:val="16"/>
              </w:rPr>
              <w:t xml:space="preserve">: it pays more than the appraisers themselves. To justify CLP 3,555, the </w:t>
            </w:r>
            <w:r>
              <w:rPr>
                <w:rFonts w:ascii="Arial" w:cs="Arial" w:eastAsia="Arial" w:hAnsi="Arial"/>
                <w:color w:val="1A1A1A"/>
                <w:sz w:val="16"/>
                <w:szCs w:val="16"/>
                <w:shd w:fill="ECB100" w:color="auto" w:val="clear"/>
              </w:rPr>
              <w:t xml:space="preserve">nominal WACC would have to be 285 bp lower (7.56%; </w:t>
            </w:r>
            <w:r>
              <w:rPr>
                <w:rFonts w:ascii="Arial" w:cs="Arial" w:eastAsia="Arial" w:hAnsi="Arial"/>
                <w:color w:val="1A1A1A"/>
                <w:sz w:val="16"/>
                <w:szCs w:val="16"/>
              </w:rPr>
              <w:t xml:space="preserve">Figure 34); even at the appraisers' rate</w:t>
            </w:r>
            <w:r>
              <w:rPr>
                <w:rFonts w:ascii="Arial" w:cs="Arial" w:eastAsia="Arial" w:hAnsi="Arial"/>
                <w:color w:val="1A1A1A"/>
                <w:sz w:val="16"/>
                <w:szCs w:val="16"/>
                <w:shd w:fill="ECB100" w:color="auto" w:val="clear"/>
              </w:rPr>
              <w:t xml:space="preserve"> (5.55% real, 8.72% nominal)</w:t>
            </w:r>
            <w:r>
              <w:rPr>
                <w:rFonts w:ascii="Arial" w:cs="Arial" w:eastAsia="Arial" w:hAnsi="Arial"/>
                <w:color w:val="1A1A1A"/>
                <w:sz w:val="16"/>
                <w:szCs w:val="16"/>
              </w:rPr>
              <w:t xml:space="preserve">, the DCF would be CLP 2,660.</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We pushed the thesis to its extremes. In a bear case (</w:t>
            </w:r>
            <w:r>
              <w:rPr>
                <w:rFonts w:ascii="Arial" w:cs="Arial" w:eastAsia="Arial" w:hAnsi="Arial"/>
                <w:color w:val="1A1A1A"/>
                <w:sz w:val="16"/>
                <w:szCs w:val="16"/>
                <w:shd w:fill="ECB100" w:color="auto" w:val="clear"/>
              </w:rPr>
              <w:t xml:space="preserve">nominal WACC +100 bp</w:t>
            </w:r>
            <w:r>
              <w:rPr>
                <w:rFonts w:ascii="Arial" w:cs="Arial" w:eastAsia="Arial" w:hAnsi="Arial"/>
                <w:color w:val="1A1A1A"/>
                <w:sz w:val="16"/>
                <w:szCs w:val="16"/>
              </w:rPr>
              <w:t xml:space="preserve"> and the 75.8% quarterly-low margin) the target falls to CLP 1,713; in a bull case combining </w:t>
            </w:r>
            <w:r>
              <w:rPr>
                <w:rFonts w:ascii="Arial" w:cs="Arial" w:eastAsia="Arial" w:hAnsi="Arial"/>
                <w:color w:val="1A1A1A"/>
                <w:sz w:val="16"/>
                <w:szCs w:val="16"/>
                <w:shd w:fill="ECB100" w:color="auto" w:val="clear"/>
              </w:rPr>
              <w:t xml:space="preserve">nominal WACC −100 bp, nominal g of 2.5%</w:t>
            </w:r>
            <w:r>
              <w:rPr>
                <w:rFonts w:ascii="Arial" w:cs="Arial" w:eastAsia="Arial" w:hAnsi="Arial"/>
                <w:color w:val="1A1A1A"/>
                <w:sz w:val="16"/>
                <w:szCs w:val="16"/>
              </w:rPr>
              <w:t xml:space="preserve">, the 81.3% quarterly-peak margin and the cut in corporate tax to 23%, it rises to CLP 2,627, still 26% below the price. APV (CLP 1,894), a peso-bond Rf (~CLP 2,439) and other debt targets (DCF of CLP 1,819 to 1,894) lead to the same conclusion (Appendix [F]). </w:t>
            </w:r>
            <w:r>
              <w:rPr>
                <w:rFonts w:ascii="Arial" w:cs="Arial" w:eastAsia="Arial" w:hAnsi="Arial"/>
                <w:color w:val="1A1A1A"/>
                <w:sz w:val="16"/>
                <w:szCs w:val="16"/>
                <w:shd w:fill="ECB100" w:color="auto" w:val="clear"/>
              </w:rPr>
              <w:t xml:space="preserve">The firm's IRR at the market price barely moves across scenarios (7.3%, 7.6% and 7.9% nominal in bear, base and bull; 4.2%, 4.4% and 4.7% real) and always stays below each one's WACC (409, 284 and 152 bp nominal): even the bull case leaves no margin of safety.</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w:t>
            </w:r>
            <w:r>
              <w:rPr>
                <w:rFonts w:ascii="Arial" w:cs="Arial" w:eastAsia="Arial" w:hAnsi="Arial"/>
                <w:color w:val="1A1A1A"/>
                <w:sz w:val="16"/>
                <w:szCs w:val="16"/>
                <w:shd w:fill="ECB100" w:color="auto" w:val="clear"/>
              </w:rPr>
              <w:t xml:space="preserve">the nominal peso bond (5.43%)</w:t>
            </w:r>
            <w:r>
              <w:rPr>
                <w:rFonts w:ascii="Arial" w:cs="Arial" w:eastAsia="Arial" w:hAnsi="Arial"/>
                <w:color w:val="1A1A1A"/>
                <w:sz w:val="16"/>
                <w:szCs w:val="16"/>
              </w:rPr>
              <w:t xml:space="preserve"> and then adding country risk would count Chile risk twice, and even so the target price would only rise to ~CLP 2,439, 31% below the price. In other words, no reasonable choice of inputs rescues the current valuation; the gap is too wide to be a modelling artefact.</w:t>
            </w:r>
          </w:p>
          <w:p>
            <w:pPr>
              <w:spacing w:after="60" w:before="0" w:line="228" w:lineRule="auto"/>
              <w:jc w:val="both"/>
            </w:pPr>
            <w:r>
              <w:rPr>
                <w:rFonts w:ascii="Arial" w:cs="Arial" w:eastAsia="Arial" w:hAnsi="Arial"/>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That brings us to CLP 2,076 (80% × 1,857 + 20% × 2,951): 10.8x EBITDA, </w:t>
            </w:r>
            <w:r>
              <w:rPr>
                <w:rFonts w:ascii="Arial" w:cs="Arial" w:eastAsia="Arial" w:hAnsi="Arial"/>
                <w:color w:val="1A1A1A"/>
                <w:sz w:val="16"/>
                <w:szCs w:val="16"/>
                <w:shd w:fill="ECB100" w:color="auto" w:val="clear"/>
              </w:rPr>
              <w:t xml:space="preserve">a real 9.3% cap rate</w:t>
            </w:r>
            <w:r>
              <w:rPr>
                <w:rFonts w:ascii="Arial" w:cs="Arial" w:eastAsia="Arial" w:hAnsi="Arial"/>
                <w:color w:val="1A1A1A"/>
                <w:sz w:val="16"/>
                <w:szCs w:val="16"/>
              </w:rPr>
              <w:t xml:space="preserve"> and 0.94x book value. Rolling the DCF to 30-Sep-26 would lift it to ~CLP 2,118 without changing the call. The catalyst is the same force behind the thesis: with the </w:t>
            </w:r>
            <w:r>
              <w:rPr>
                <w:rFonts w:ascii="Arial" w:cs="Arial" w:eastAsia="Arial" w:hAnsi="Arial"/>
                <w:color w:val="1A1A1A"/>
                <w:sz w:val="16"/>
                <w:szCs w:val="16"/>
                <w:shd w:fill="ECB100" w:color="auto" w:val="clear"/>
              </w:rPr>
              <w:t xml:space="preserve">nominal 10Y UST</w:t>
            </w:r>
            <w:r>
              <w:rPr>
                <w:rFonts w:ascii="Arial" w:cs="Arial" w:eastAsia="Arial" w:hAnsi="Arial"/>
                <w:color w:val="1A1A1A"/>
                <w:sz w:val="16"/>
                <w:szCs w:val="16"/>
              </w:rPr>
              <w:t xml:space="preserve">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What we will watch: the Note 11 appraisal at each reporting date (the real discount rate is the bridge between our value and book), the spread of the company's UF bonds over their </w:t>
            </w:r>
            <w:r>
              <w:rPr>
                <w:rFonts w:ascii="Arial" w:cs="Arial" w:eastAsia="Arial" w:hAnsi="Arial"/>
                <w:color w:val="1A1A1A"/>
                <w:sz w:val="16"/>
                <w:szCs w:val="16"/>
                <w:shd w:fill="ECB100" w:color="auto" w:val="clear"/>
              </w:rPr>
              <w:t xml:space="preserve">3.6% real coupon</w:t>
            </w:r>
            <w:r>
              <w:rPr>
                <w:rFonts w:ascii="Arial" w:cs="Arial" w:eastAsia="Arial" w:hAnsi="Arial"/>
                <w:color w:val="1A1A1A"/>
                <w:sz w:val="16"/>
                <w:szCs w:val="16"/>
              </w:rPr>
              <w:t xml:space="preserve"> (at the latest issue's </w:t>
            </w:r>
            <w:r>
              <w:rPr>
                <w:rFonts w:ascii="Arial" w:cs="Arial" w:eastAsia="Arial" w:hAnsi="Arial"/>
                <w:color w:val="1A1A1A"/>
                <w:sz w:val="16"/>
                <w:szCs w:val="16"/>
                <w:shd w:fill="ECB100" w:color="auto" w:val="clear"/>
              </w:rPr>
              <w:t xml:space="preserve">4.33% real effective rate</w:t>
            </w:r>
            <w:r>
              <w:rPr>
                <w:rFonts w:ascii="Arial" w:cs="Arial" w:eastAsia="Arial" w:hAnsi="Arial"/>
                <w:color w:val="1A1A1A"/>
                <w:sz w:val="16"/>
                <w:szCs w:val="16"/>
              </w:rPr>
              <w:t xml:space="preserve">, the </w:t>
            </w:r>
            <w:r>
              <w:rPr>
                <w:rFonts w:ascii="Arial" w:cs="Arial" w:eastAsia="Arial" w:hAnsi="Arial"/>
                <w:color w:val="1A1A1A"/>
                <w:sz w:val="16"/>
                <w:szCs w:val="16"/>
                <w:shd w:fill="ECB100" w:color="auto" w:val="clear"/>
              </w:rPr>
              <w:t xml:space="preserve">nominal WACC would rise 12 bp</w:t>
            </w:r>
            <w:r>
              <w:rPr>
                <w:rFonts w:ascii="Arial" w:cs="Arial" w:eastAsia="Arial" w:hAnsi="Arial"/>
                <w:color w:val="1A1A1A"/>
                <w:sz w:val="16"/>
                <w:szCs w:val="16"/>
              </w:rPr>
              <w:t xml:space="preserve"> and the target would fall to CLP 2,042), the cut in corporate tax to 23% (+5.1% on the target, not yet included) and the AAA rating, which would likely come under pressure at 3.5x net debt/EBITDA. In short, the operating story is sound; it is the price of that story that no longer adds up.</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 UF (Central Bank of Chile) and NTN-B 2035 (8.08%) at 30-Jun-26. Spread = cap rate (1 / EV/EBITDA) − real bond. IRSA omitted (IAS 29). Source: Bloomberg; Central Bank of Chile; Team analysis.</w:t>
            </w:r>
          </w:p>
          <w:p>
            <w:pPr>
              <w:spacing w:after="30" w:before="9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34: </w:t>
            </w: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The price requires a nominal WACC 285 bp lower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14c883e6f2b898c089b825413644af7dee880dd.png"/><Relationship Id="rId10" Type="http://schemas.openxmlformats.org/officeDocument/2006/relationships/image" Target="media/a62342d9ec50c46f4e7f430f13c67905c743e7ce.png"/><Relationship Id="rId11" Type="http://schemas.openxmlformats.org/officeDocument/2006/relationships/image" Target="media/3b02fddff3989159cc5372f8070a9c3716399692.png"/><Relationship Id="rId12" Type="http://schemas.openxmlformats.org/officeDocument/2006/relationships/image" Target="media/8328ba562cddad3f672e3301050fb517a3b5f8aa.png"/><Relationship Id="rId13" Type="http://schemas.openxmlformats.org/officeDocument/2006/relationships/image" Target="media/30cb8469be326b2ca7bbe97b9caa7e1c4842f99d.png"/><Relationship Id="rId14" Type="http://schemas.openxmlformats.org/officeDocument/2006/relationships/image" Target="media/11ae97cbbba07ae07141e02f3be12fcfb32209b4.png"/><Relationship Id="rId15" Type="http://schemas.openxmlformats.org/officeDocument/2006/relationships/image" Target="media/d40688d44987d578c4578ea19e236ca614ea843a.png"/><Relationship Id="rId16" Type="http://schemas.openxmlformats.org/officeDocument/2006/relationships/image" Target="media/b3e445c9f34a4a944fb280d19258017788441bf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2026-10-17T17:12:00.819Z</dcterms:created>
  <dcterms:modified xsi:type="dcterms:W3CDTF">2026-10-17T17:12:00.819Z</dcterms:modified>
</cp:coreProperties>
</file>

<file path=docProps/custom.xml><?xml version="1.0" encoding="utf-8"?>
<Properties xmlns="http://schemas.openxmlformats.org/officeDocument/2006/custom-properties" xmlns:vt="http://schemas.openxmlformats.org/officeDocument/2006/docPropsVTypes"/>
</file>