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 PRICE NO METHOD REACHES</w:t>
            </w:r>
          </w:p>
          <w:p>
            <w:pPr>
              <w:spacing w:after="60" w:before="0" w:line="228" w:lineRule="auto"/>
              <w:jc w:val="both"/>
            </w:pPr>
            <w:r>
              <w:rPr>
                <w:rFonts w:ascii="Arial" w:cs="Arial" w:eastAsia="Arial" w:hAnsi="Arial"/>
                <w:color w:val="1A1A1A"/>
                <w:sz w:val="16"/>
                <w:szCs w:val="16"/>
              </w:rPr>
              <w:t xml:space="preserve">In twelve months the stock rose from CLP 2,470 to 4,700 and now trades at CLP 3,555. None of our methods reaches that price: the DCF ranges from CLP 1,379 to 2,329 even with WACC ±100 bp and g between 2.5% and 4.0%, and the most favourable multiples fall short too (Figure 27).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spacing w:after="60" w:before="0" w:line="228" w:lineRule="auto"/>
              <w:jc w:val="both"/>
            </w:pPr>
            <w:r>
              <w:rPr>
                <w:rFonts w:ascii="Arial" w:cs="Arial" w:eastAsia="Arial" w:hAnsi="Arial"/>
                <w:color w:val="1A1A1A"/>
                <w:sz w:val="16"/>
                <w:szCs w:val="16"/>
              </w:rPr>
              <w:t xml:space="preserve">Figure 27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intraday range (1-Oct-25 to 30-Sep-26; low 10-Oct-25, high 27-Apr-26). Source: Team analysis; Bloomberg.</w:t>
            </w:r>
          </w:p>
        </w:tc>
      </w:tr>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90"/>
            </w:pPr>
            <w:r>
              <w:rPr>
                <w:rFonts w:ascii="Arial" w:cs="Arial" w:eastAsia="Arial" w:hAnsi="Arial"/>
                <w:b/>
                <w:bCs/>
                <w:color w:val="14284B"/>
                <w:sz w:val="16"/>
                <w:szCs w:val="16"/>
              </w:rPr>
              <w:t xml:space="preserve">THE STORY IS IN THE RATE</w:t>
            </w:r>
          </w:p>
          <w:p>
            <w:pPr>
              <w:spacing w:after="60" w:before="0" w:line="228" w:lineRule="auto"/>
              <w:jc w:val="both"/>
            </w:pPr>
            <w:r>
              <w:rPr>
                <w:rFonts w:ascii="Arial" w:cs="Arial" w:eastAsia="Arial" w:hAnsi="Arial"/>
                <w:color w:val="1A1A1A"/>
                <w:sz w:val="16"/>
                <w:szCs w:val="16"/>
              </w:rPr>
              <w:t xml:space="preserve">We project free cash flow to the firm in nominal CLP from 30-Jun-26, with an explicit horizon to 2031E and a terminal value that accounts for 76% of EV (Appendix [B]). The CLP 1,857 per share is CLP 583 of explicit cash flows and CLP 1,884 of terminal value, less CLP 610 of debt and minorities: the result depends, above all, on the discount rate.</w:t>
            </w:r>
          </w:p>
          <w:p>
            <w:pPr>
              <w:spacing w:after="60" w:before="0" w:line="228" w:lineRule="auto"/>
              <w:jc w:val="both"/>
            </w:pP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11.93% Ke (Rf 4.98%, relevered beta of 1.14 from a six-peer median of 0.94, ERP 4.14% and a 1.41% revenue-weighted CRP) and a 5.11% after-tax Kd based on the 3.6% real coupon of the latest bond (Appendix [Z]).</w:t>
            </w:r>
          </w:p>
          <w:p>
            <w:pPr>
              <w:spacing w:after="60" w:before="0" w:line="228" w:lineRule="auto"/>
              <w:jc w:val="both"/>
            </w:pPr>
            <w:r>
              <w:rPr>
                <w:rFonts w:ascii="Arial" w:cs="Arial" w:eastAsia="Arial" w:hAnsi="Arial"/>
                <w:color w:val="1A1A1A"/>
                <w:sz w:val="16"/>
                <w:szCs w:val="16"/>
              </w:rPr>
              <w:t xml:space="preserve">Here the first signal appears: at CLP 3,555, equity yields ~4.4% real, just 80 bp above the company's own real cost of debt (Figure 28). The market is pricing the stock almost as if it were a bond.</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equity yields almost the same as debt</w:t>
            </w:r>
          </w:p>
          <w:p>
            <w:pPr>
              <w:spacing w:after="20" w:before="0" w:line="240" w:lineRule="auto"/>
            </w:pPr>
            <w:r>
              <w:drawing>
                <wp:inline distT="0" distB="0" distL="0" distR="0">
                  <wp:extent cx="22574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tc>
      </w:tr>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p>
            <w:pPr>
              <w:spacing w:after="60" w:before="0" w:line="228" w:lineRule="auto"/>
              <w:jc w:val="both"/>
            </w:pPr>
            <w:r>
              <w:rPr>
                <w:rFonts w:ascii="Arial" w:cs="Arial" w:eastAsia="Arial" w:hAnsi="Arial"/>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These are assumptions the team can defend line by line (Appendix [C]).</w:t>
            </w:r>
          </w:p>
          <w:p>
            <w:pPr>
              <w:spacing w:after="60" w:before="0" w:line="228" w:lineRule="auto"/>
              <w:jc w:val="both"/>
            </w:pPr>
            <w:r>
              <w:rPr>
                <w:rFonts w:ascii="Arial" w:cs="Arial" w:eastAsia="Arial" w:hAnsi="Arial"/>
                <w:color w:val="1A1A1A"/>
                <w:sz w:val="16"/>
                <w:szCs w:val="16"/>
              </w:rPr>
              <w:t xml:space="preserve">The problem is the return on growth. Each new m² yields 6.9% on cost, a 5.0% real RONIC after tax, below a 7.2% real WACC. Expansion adds revenue but not value, so terminal value grows only with inflation (g of 3.0% nominal, 0% real) and a higher g lowers value (Figure 29). Assuming more growth would not close the gap with the price; it would widen it.</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1526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PEERS CONFIRM THE DIRECTION, NOT THE SIZE</w:t>
            </w:r>
          </w:p>
          <w:p>
            <w:pPr>
              <w:spacing w:after="60" w:before="0" w:line="228" w:lineRule="auto"/>
              <w:jc w:val="both"/>
            </w:pPr>
            <w:r>
              <w:rPr>
                <w:rFonts w:ascii="Arial" w:cs="Arial" w:eastAsia="Arial" w:hAnsi="Arial"/>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 over the local rate is similar in both countries, 385 bp in Chile and 302 bp in Brazil (Figure 30).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[E]).</w:t>
            </w:r>
          </w:p>
          <w:p>
            <w:pPr>
              <w:spacing w:after="60" w:before="0" w:line="228" w:lineRule="auto"/>
              <w:jc w:val="both"/>
            </w:pPr>
            <w:r>
              <w:rPr>
                <w:rFonts w:ascii="Arial" w:cs="Arial" w:eastAsia="Arial" w:hAnsi="Arial"/>
                <w:color w:val="1A1A1A"/>
                <w:sz w:val="16"/>
                <w:szCs w:val="16"/>
              </w:rPr>
              <w:t xml:space="preserve">Macro explains the difference. At 30-Jun-26 Brazil had a 14.25% Selic, a 14.34% nominal 10-year bond and 5.3% expected 2026 inflation, against a 4.5% policy rate, a 5.43% nominal bond and 4.1% inflation in Chile, with similar growth (2.0% and 1.6%). An investor in Brazil demands more from every asset, not just shopping malls; applying that discount to Mallplaza, which earns 71.8% of revenue in Chile, would penalise it for a risk it does not carry.</w:t>
            </w:r>
          </w:p>
          <w:p>
            <w:pPr>
              <w:spacing w:after="60" w:before="0" w:line="228" w:lineRule="auto"/>
              <w:jc w:val="both"/>
            </w:pPr>
            <w:r>
              <w:rPr>
                <w:rFonts w:ascii="Arial" w:cs="Arial" w:eastAsia="Arial" w:hAnsi="Arial"/>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spacing w:after="60" w:before="0" w:line="228" w:lineRule="auto"/>
              <w:jc w:val="both"/>
            </w:pPr>
            <w:r>
              <w:rPr>
                <w:rFonts w:ascii="Arial" w:cs="Arial" w:eastAsia="Arial" w:hAnsi="Arial"/>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31): multiples confirm the stock is expensive, and the DCF sets the size of the gap. We exclude P/E (CLP 8,644), distorted by property revaluation.</w:t>
            </w:r>
          </w:p>
          <w:p>
            <w:pPr>
              <w:spacing w:after="60" w:before="0" w:line="228" w:lineRule="auto"/>
              <w:jc w:val="both"/>
            </w:pPr>
            <w:r>
              <w:rPr>
                <w:rFonts w:ascii="Arial" w:cs="Arial" w:eastAsia="Arial" w:hAnsi="Arial"/>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22383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 UF (Central Bank of Chile) and NTN-B 2035 (8.08%) at 30-Jun-26. Spread = cap rate (1 / EV/EBITDA) − real bond. IRSA omitted (IAS 29). Source: Bloomberg; Central Bank of Chile; Team analysis.</w:t>
            </w:r>
          </w:p>
          <w:p>
            <w:pPr>
              <w:spacing w:after="30" w:before="9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Value implied by each peer's multiple vs DCF and price (CLP per share)</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9621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tc>
      </w:tr>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color w:val="1A1A1A"/>
                <w:sz w:val="16"/>
                <w:szCs w:val="16"/>
              </w:rPr>
              <w:t xml:space="preserve">The price implies an EV of CLP 9.12 trillion, 69% above ours, and a 6.0% cap rate, against 10.1% in our DCF, 6.4% for Chilean peers and 7.5% at book value (Figure 32). The market pays 1.61x an equity base already at fair value, appraised at a ~5.55% real rate (Note 11): it pays more than the appraisers themselves. To justify CLP 3,555, the WACC would have to be 285 bp lower (Figure 33); even at the appraisers' rate, the DCF would be CLP 2,660.</w:t>
            </w:r>
          </w:p>
          <w:p>
            <w:pPr>
              <w:spacing w:after="60" w:before="0" w:line="228" w:lineRule="auto"/>
              <w:jc w:val="both"/>
            </w:pPr>
            <w:r>
              <w:rPr>
                <w:rFonts w:ascii="Arial" w:cs="Arial" w:eastAsia="Arial" w:hAnsi="Arial"/>
                <w:color w:val="1A1A1A"/>
                <w:sz w:val="16"/>
                <w:szCs w:val="16"/>
              </w:rPr>
              <w:t xml:space="preserve">We pushed the thesis to its extremes. In a bear case (WACC +100 bp and the 75.8% historical-low margin) the target falls to CLP 1,712; in a bull case combining WACC −100 bp, g of 2.5%, the 81.3% peak margin and the cut in corporate tax to 23%, it rises to CLP 2,595, still 27% below the price. APV (CLP 1,894), a peso-bond Rf (~CLP 2,439) and other debt targets (DCF of CLP 1,819 to 1,894) lead to the same conclusion (Appendix [F]).</w:t>
            </w:r>
          </w:p>
          <w:p>
            <w:pPr>
              <w:spacing w:after="60" w:before="0" w:line="228" w:lineRule="auto"/>
              <w:jc w:val="both"/>
            </w:pPr>
            <w:r>
              <w:rPr>
                <w:rFonts w:ascii="Arial" w:cs="Arial" w:eastAsia="Arial" w:hAnsi="Arial"/>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spacing w:after="60" w:before="0" w:line="228" w:lineRule="auto"/>
              <w:jc w:val="both"/>
            </w:pPr>
            <w:r>
              <w:rPr>
                <w:rFonts w:ascii="Arial" w:cs="Arial" w:eastAsia="Arial" w:hAnsi="Arial"/>
                <w:color w:val="1A1A1A"/>
                <w:sz w:val="16"/>
                <w:szCs w:val="16"/>
              </w:rPr>
              <w:t xml:space="preserve">That brings us to CLP 2,076 (80% × 1,857 + 20% × 2,951): 10.8x EBITDA, a 9.3% cap rate and 0.94x book value. Rolling the DCF to 30-Sep-26 would lift it to ~CLP 2,118 without changing the call. The catalyst is the same force behind the thesis: with the 10Y UST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spacing w:after="60" w:before="0" w:line="228" w:lineRule="auto"/>
              <w:jc w:val="both"/>
            </w:pPr>
            <w:r>
              <w:rPr>
                <w:rFonts w:ascii="Arial" w:cs="Arial" w:eastAsia="Arial" w:hAnsi="Arial"/>
                <w:color w:val="1A1A1A"/>
                <w:sz w:val="16"/>
                <w:szCs w:val="16"/>
              </w:rPr>
              <w:t xml:space="preserve">What we will watch: the Note 11 appraisal at each reporting date (the real discount rate is the bridge between our value and book), the spread of the company's UF bonds over their 3.6% coupon (at the latest issue's 4.33% effective rate, the WACC would rise 12 bp and the target would fall to CLP 2,042), the cut in corporate tax to 23% (+3.9% on the target, not yet included) and the AAA rating, which would likely come under pressure at 3.5x net debt/EBITDA.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The market pays 6.0%; our cash flows are worth 10.1%</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The price requires a WACC 285 bp lower</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tc>
      </w:tr>
    </w:tbl>
    <w:p>
      <w:pPr>
        <w:sectPr>
          <w:headerReference w:type="default" r:id="rId7"/>
          <w:footerReference w:type="default" r:id="rId8"/>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APPENDIX [Z]: WACC CONSTRUCTION</w:t>
      </w:r>
    </w:p>
    <w:p>
      <w:pPr>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weighted CRP</w:t>
      </w:r>
    </w:p>
    <w:p>
      <w:pPr>
        <w:spacing w:after="10"/>
        <w:ind w:left="240"/>
      </w:pPr>
      <w:r>
        <w:rPr>
          <w:rFonts w:ascii="Arial" w:cs="Arial" w:eastAsia="Arial" w:hAnsi="Arial"/>
          <w:b/>
          <w:bCs/>
          <w:color w:val="14284B"/>
          <w:sz w:val="14"/>
          <w:szCs w:val="14"/>
        </w:rPr>
        <w:t xml:space="preserve">Ke CLP = (1 + Ke USD) × (1 + π Chile) / (1 + π US) − 1</w:t>
      </w:r>
    </w:p>
    <w:p>
      <w:pPr>
        <w:spacing w:after="10"/>
        <w:ind w:left="240"/>
      </w:pPr>
      <w:r>
        <w:rPr>
          <w:rFonts w:ascii="Arial" w:cs="Arial" w:eastAsia="Arial" w:hAnsi="Arial"/>
          <w:b/>
          <w:bCs/>
          <w:color w:val="14284B"/>
          <w:sz w:val="14"/>
          <w:szCs w:val="14"/>
        </w:rPr>
        <w:t xml:space="preserve">Kd CLP = (1 + real Kd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Figure Z1: </w:t>
            </w:r>
            <w:r>
              <w:rPr>
                <w:rFonts w:ascii="Arial" w:cs="Arial" w:eastAsia="Arial" w:hAnsi="Arial"/>
                <w:color w:val="14284B"/>
                <w:sz w:val="14"/>
                <w:szCs w:val="14"/>
              </w:rPr>
              <w:t xml:space="preserve">Nominal WACC and D/E by period</w:t>
            </w:r>
          </w:p>
          <w:p>
            <w:pPr>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sectPr>
      <w:headerReference w:type="default" r:id="rId9"/>
      <w:footerReference w:type="default" r:id="rId10"/>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0fe31d6dda898035476b5e50f79afcf6ba80c48b.png"/><Relationship Id="rId12" Type="http://schemas.openxmlformats.org/officeDocument/2006/relationships/image" Target="media/7705807de7bb5ae65ea8f9405698e5accadf9f5f.png"/><Relationship Id="rId13" Type="http://schemas.openxmlformats.org/officeDocument/2006/relationships/image" Target="media/3f8811c3930ab52f0361e30aeba0a0477fff495d.png"/><Relationship Id="rId14" Type="http://schemas.openxmlformats.org/officeDocument/2006/relationships/image" Target="media/c3adc3de4e8ff8ca379e66dd0e83441d9c15b300.png"/><Relationship Id="rId15" Type="http://schemas.openxmlformats.org/officeDocument/2006/relationships/image" Target="media/15174e0c0541fb78328ffe3fccdbfc912de62327.png"/><Relationship Id="rId16" Type="http://schemas.openxmlformats.org/officeDocument/2006/relationships/image" Target="media/e78b17cbe4994957e6ba45239af4e36fc468c599.png"/><Relationship Id="rId17" Type="http://schemas.openxmlformats.org/officeDocument/2006/relationships/image" Target="media/eb51e0d291817a3d17c0d21bcf3419fbdc2ff4ba.png"/><Relationship Id="rId18" Type="http://schemas.openxmlformats.org/officeDocument/2006/relationships/image" Target="media/fc24481a50aecaf97af890d023f9924ac8672d6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2026-10-14T13:54:01.248Z</dcterms:created>
  <dcterms:modified xsi:type="dcterms:W3CDTF">2026-10-14T13:54:01.249Z</dcterms:modified>
</cp:coreProperties>
</file>

<file path=docProps/custom.xml><?xml version="1.0" encoding="utf-8"?>
<Properties xmlns="http://schemas.openxmlformats.org/officeDocument/2006/custom-properties" xmlns:vt="http://schemas.openxmlformats.org/officeDocument/2006/docPropsVTypes"/>
</file>