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is a high-probability rise in interest rates that lifts the WACC, followed by inflation and weaker macro momentum. None of the risks analysed takes the target price above the current share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places each risk in a 3x3 matrix by likelihood and impact (low, medium, high); the colour of each label shows its category. Impact is measured as the effect on value per share, using the operational tornado (Figure 24), the WACC and g sensitivity (Figure 25) and the effect of UF indexation (Figure 26). Interest-rate risk (FR1) sits in the most severe cell (high/high), and inflation and the macro cycle (MR1) also fall in the red zone; FX (MR3) sits in the centre.</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In 2025 Mallplaza already converted 14,000 m² of large-format space in five malls. The impact is bounded by the traffic and rent bars of the tornado (−1.3% to −4.0%, Figure 24). </w:t>
            </w:r>
            <w:r>
              <w:rPr>
                <w:rFonts w:ascii="Arial" w:cs="Arial" w:eastAsia="Arial" w:hAnsi="Arial"/>
                <w:i/>
                <w:iCs/>
                <w:color w:val="5F5F5F"/>
                <w:sz w:val="16"/>
                <w:szCs w:val="16"/>
              </w:rPr>
              <w:t xml:space="preserve">(Non‑systematic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(base case) takes CLP 38,691 million off earnings (Figure 26). Weaker consumption hurts tenant sales and, without GDP growth, the new business lines Mallplaza has captured do not emerge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weaker PEN or COP would lower consolidated revenue and EBITDA in pesos.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to corporate tax and permitting create uncertainty when evaluating pipeline projects (USD 613 million, 170,200 m² to 2028). Permit delays push back revenue, although the value sensitivity is limited.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pro-market governments in all three countries (Kast, Fujimori, De La Espriella). Law 21,770 shortens permitting times, and the Reconstruction Law cuts corporate tax from 27% to 23% in 2029 (the model uses 27%).</w:t>
            </w:r>
          </w:p>
          <w:p>
            <w:pPr>
              <w:pBdr>
                <w:bottom w:val="single" w:color="E9004B" w:sz="8" w:space="1"/>
              </w:pBdr>
              <w:spacing w:after="50" w:before="110"/>
            </w:pPr>
            <w:r>
              <w:rPr>
                <w:rFonts w:ascii="Arial" w:cs="Arial" w:eastAsia="Arial" w:hAnsi="Arial"/>
                <w:b/>
                <w:bCs/>
                <w:color w:val="14284B"/>
                <w:sz w:val="16"/>
                <w:szCs w:val="16"/>
              </w:rPr>
              <w:t xml:space="preserve">SENSITIVITY ANALYSIS</w:t>
            </w:r>
          </w:p>
          <w:p>
            <w:pPr>
              <w:spacing w:after="40" w:before="0" w:line="228" w:lineRule="auto"/>
              <w:jc w:val="both"/>
            </w:pPr>
            <w:r>
              <w:rPr>
                <w:rFonts w:ascii="Arial" w:cs="Arial" w:eastAsia="Arial" w:hAnsi="Arial"/>
                <w:color w:val="1A1A1A"/>
                <w:sz w:val="16"/>
                <w:szCs w:val="16"/>
              </w:rPr>
              <w:t xml:space="preserve">Value is more sensitive to the discount rate than to operations. The worst operating case, EBITDA margin, takes 10.0% off DCF value (Figure 24), while +100 bp of WACC takes 17.2% off (12.3% of the target price, Figure 25). The current price implies a cap rate close to 6.0%, versus 10.1% in the DCF: the market prices in a low discount rate, which increases the stock's exposure to higher rates. A higher g lowers value because RONIC (5.0%) is below the real WACC (7.2%). Even the best cell in Figure 25 (CLP 2,487) is below the CLP 3,555 share price, so the recommendation stands.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Earnings sensitivity to a rise in the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reported sensitivity; +1% and +2% linear extrapolation. Source: Mallplaza financial statements Jun-26, Note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be56f0851d34ea68d3b8d97ec63bcf36aa4828.png"/><Relationship Id="rId10" Type="http://schemas.openxmlformats.org/officeDocument/2006/relationships/image" Target="media/4c14c0c35dfad7eb69ab7f273d16edf0ee468013.png"/><Relationship Id="rId11" Type="http://schemas.openxmlformats.org/officeDocument/2006/relationships/image" Target="media/4f56fdb52a249cd7f67aa27e094689117240e17a.png"/><Relationship Id="rId12" Type="http://schemas.openxmlformats.org/officeDocument/2006/relationships/image" Target="media/7226c19ffe9fb2627107f1f56ebf323c9a2133d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2026-10-11T23:27:14.203Z</dcterms:created>
  <dcterms:modified xsi:type="dcterms:W3CDTF">2026-10-11T23:27:14.203Z</dcterms:modified>
</cp:coreProperties>
</file>

<file path=docProps/custom.xml><?xml version="1.0" encoding="utf-8"?>
<Properties xmlns="http://schemas.openxmlformats.org/officeDocument/2006/custom-properties" xmlns:vt="http://schemas.openxmlformats.org/officeDocument/2006/docPropsVTypes"/>
</file>