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APPENDICES: INDUSTRY AND COMPETITIVE POSITIONING</w:t>
      </w:r>
    </w:p>
    <w:p>
      <w:pPr>
        <w:keepNext/>
        <w:pBdr>
          <w:bottom w:val="single" w:color="14284B" w:sz="12" w:space="2"/>
        </w:pBdr>
        <w:spacing w:after="70" w:before="60"/>
      </w:pPr>
      <w:r>
        <w:rPr>
          <w:rFonts w:ascii="Arial" w:cs="Arial" w:eastAsia="Arial" w:hAnsi="Arial"/>
          <w:b/>
          <w:bCs/>
          <w:color w:val="14284B"/>
          <w:sz w:val="24"/>
          <w:szCs w:val="24"/>
        </w:rPr>
        <w:t xml:space="preserve">APPENDIX 3: NEW GLA SUPPLY, 2026-2028</w:t>
      </w:r>
    </w:p>
    <w:p>
      <w:pPr>
        <w:shd w:fill="EEF1F6" w:color="auto" w:val="clear"/>
        <w:spacing w:after="8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The trio will add 432,030 m² between 2026 and 2028, of which 334,030 m² are organic (6.4% of their current total GLA; in Chile, 219,900 m², equivalent to 6.7% of their GLA in that country). Acquisitions (98,000 m², all by Parque Arauco) change owner but add no supply to the industry; the supply-versus-demand analysis for Chile (Figure 3) therefore uses organic GLA only.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216"/>
        <w:gridCol w:w="565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A. PIPELINE BY COMPANY (m²)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304800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E9004B" w:sz="8" w:space="1"/>
              </w:pBd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B. GLA BY OPENING YEAR (m²)</w:t>
            </w:r>
          </w:p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900"/>
              <w:gridCol w:w="640"/>
              <w:gridCol w:w="640"/>
              <w:gridCol w:w="640"/>
              <w:gridCol w:w="740"/>
              <w:gridCol w:w="700"/>
              <w:gridCol w:w="740"/>
              <w:gridCol w:w="600"/>
            </w:tblGrid>
            <w:tr>
              <w:trPr>
                <w:tblHeader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Company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2026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2027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2028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Organic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Acquis.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Total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35"/>
                    <w:left w:type="dxa" w:w="80"/>
                    <w:bottom w:type="dxa" w:w="35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3"/>
                      <w:szCs w:val="13"/>
                    </w:rPr>
                    <w:t xml:space="preserve">Org./GLA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Mallplaza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8,900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72,950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88,350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170,200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–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170,200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7.2%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Parque Arauco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87,000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46,000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42,330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77,330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98,000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175,330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5.8%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Cenco Malls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–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34,000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52,500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86,500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–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86,500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3"/>
                      <w:szCs w:val="13"/>
                    </w:rPr>
                    <w:t xml:space="preserve">5.6%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Trío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95,900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152,950</w:t>
                  </w:r>
                </w:p>
              </w:tc>
              <w:tc>
                <w:tcPr>
                  <w:tcW w:type="dxa" w:w="6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183,180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334,030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98,000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432,030</w:t>
                  </w:r>
                </w:p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25"/>
                    <w:left w:type="dxa" w:w="80"/>
                    <w:bottom w:type="dxa" w:w="25"/>
                    <w:right w:type="dxa" w:w="80"/>
                  </w:tcMar>
                  <w:vAlign w:val="center"/>
                </w:tcPr>
                <w:p>
                  <w:pPr>
                    <w:spacing w:line="216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3"/>
                      <w:szCs w:val="13"/>
                    </w:rPr>
                    <w:t xml:space="preserve">6.4%</w:t>
                  </w:r>
                </w:p>
              </w:tc>
            </w:tr>
          </w:tbl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Org./GLA = organic GLA 2026-2028 over consolidated GLA at 2Q26. Mallplaza: 2028 includes 46,500 m² of “Other projects Chile”, dated 2028 by the 2025 Annual Report (p.45). Parque Arauco: 2026 = 2H26 (acquisitions). Cenco: deliveries given as a range are placed at the end of the range.</w:t>
            </w:r>
          </w:p>
          <w:p/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i/>
          <w:iCs/>
          <w:color w:val="5F5F5F"/>
          <w:sz w:val="11"/>
          <w:szCs w:val="11"/>
        </w:rPr>
        <w:t xml:space="preserve">Source: Plaza S.A., 2Q26 Release (p.13) and 2025 Annual Report (p.45); Parque Arauco, 2Q26 Investor Presentation (slide 23); Cenco Malls, 2Q26 Corporate Presentation (slides 15-17). Dated projects only.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14284B" w:sz="12" w:space="2"/>
              </w:pBdr>
              <w:spacing w:after="70" w:before="160"/>
            </w:pPr>
            <w:r>
              <w:rPr>
                <w:rFonts w:ascii="Arial" w:cs="Arial" w:eastAsia="Arial" w:hAnsi="Arial"/>
                <w:b/>
                <w:bCs/>
                <w:color w:val="14284B"/>
                <w:sz w:val="24"/>
                <w:szCs w:val="24"/>
              </w:rPr>
              <w:t xml:space="preserve">APPENDIX 4: OCCUPANCY</w:t>
            </w:r>
          </w:p>
          <w:p>
            <w:pPr>
              <w:shd w:fill="EEF1F6" w:color="auto" w:val="clear"/>
              <w:spacing w:after="8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The consolidated occupancy of the three operators has stayed between 93% and 99% since 2Q22, even through the inflation and high-rate cycle. Each company defines occupancy differently, so trends are compared rather than levels.</w:t>
            </w:r>
          </w:p>
          <w:p>
            <w:pPr>
              <w:pBdr>
                <w:bottom w:val="single" w:color="E9004B" w:sz="8" w:space="1"/>
              </w:pBd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A. CONSOLIDATED OCCUPANCY RATE, 2Q22-2Q26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3314700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Source: 2Q22-2Q26 earnings reports of the three companies. Mallplaza includes Open Plaza since 2Q25.</w:t>
            </w:r>
          </w:p>
          <w:p/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14284B" w:sz="12" w:space="2"/>
              </w:pBdr>
              <w:spacing w:after="70" w:before="160"/>
            </w:pPr>
            <w:r>
              <w:rPr>
                <w:rFonts w:ascii="Arial" w:cs="Arial" w:eastAsia="Arial" w:hAnsi="Arial"/>
                <w:b/>
                <w:bCs/>
                <w:color w:val="14284B"/>
                <w:sz w:val="24"/>
                <w:szCs w:val="24"/>
              </w:rPr>
              <w:t xml:space="preserve">APPENDIX 5: MARKET SHARE IN CHILE</w:t>
            </w:r>
          </w:p>
          <w:p>
            <w:pPr>
              <w:shd w:fill="EEF1F6" w:color="auto" w:val="clear"/>
              <w:spacing w:after="8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The trio's GLA in Chile grew 7.3% since 2Q22. Mallplaza gave up 1.2 pp of share because it grew only through expansions, while Parque Arauco added Kennedy Oriente (70,000 m²) by purchase.</w:t>
            </w:r>
          </w:p>
          <w:p>
            <w:pPr>
              <w:pBdr>
                <w:bottom w:val="single" w:color="E9004B" w:sz="8" w:space="1"/>
              </w:pBd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A. SHARE WITHIN THE TRIO, 2Q22-2Q26 (% OF GLA)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3314700" cy="2571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Source: 2Q22-2Q26 earnings reports of the three companies; Team analysis.</w:t>
            </w:r>
          </w:p>
          <w:p/>
        </w:tc>
      </w:tr>
    </w:tbl>
    <w:p>
      <w:pPr>
        <w:keepNext/>
        <w:pageBreakBefore/>
        <w:pBdr>
          <w:bottom w:val="single" w:color="14284B" w:sz="12" w:space="2"/>
        </w:pBdr>
        <w:spacing w:after="70" w:before="0"/>
      </w:pPr>
      <w:r>
        <w:rPr>
          <w:rFonts w:ascii="Arial" w:cs="Arial" w:eastAsia="Arial" w:hAnsi="Arial"/>
          <w:b/>
          <w:bCs/>
          <w:color w:val="14284B"/>
          <w:sz w:val="24"/>
          <w:szCs w:val="24"/>
        </w:rPr>
        <w:t xml:space="preserve">APPENDIX 6: PORTER'S FIVE FORCES</w:t>
      </w:r>
    </w:p>
    <w:p>
      <w:pPr>
        <w:shd w:fill="EEF1F6" w:color="auto" w:val="clear"/>
        <w:spacing w:after="8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Attractive industry: with whole-number scores by country weighted by Mallplaza's GLA, the only intense force is rivalry (4), which plays out in experience and assets rather than price, since in 2Q26 same-store rents rose in Chile at all three operators (table B).</w:t>
      </w:r>
    </w:p>
    <w:p>
      <w:pPr>
        <w:pBdr>
          <w:bottom w:val="single" w:color="E9004B" w:sz="8" w:space="1"/>
        </w:pBdr>
        <w:spacing w:after="50" w:before="4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A. SCORES BY COUNTRY AND MAIN EVIDENCE (1 = WEAK FORCE; 5 = INTENSE FORCE)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00"/>
        <w:gridCol w:w="560"/>
        <w:gridCol w:w="780"/>
        <w:gridCol w:w="560"/>
        <w:gridCol w:w="6666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Force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Chile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Peru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Colombia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Final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Main evidence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Rivalry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CR3 76% / 37% / 13%; reinvestment race in experience; asset purchases (Minka, Plaza Central; Quilín and Chicureo announced); supply above consumption in 2027-28. Stable shares and margins of 71-90%. No price war: positive SSR/SAR in Chile (table B).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New entrants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Capital intensive (USD 613 million for 170,200 m² at Mallplaza); incumbents' land banks; Peru and Colombia less concentrated; Colombia with most malls under horizontal ownership.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Tenant bargaining power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 occupancy 96-99%; contracts averaging 5.0-8.7 years; top 5 = 18% of Mallplaza's revenue; Chile SSR above CPI (6.9% vs 4.8%, 1Q23-2Q26); department stores 19.0% of GLA.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Supplier bargaining power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Common expenses passed through to tenants (2025 Annual Report, note 2.20); cost of sales 6.2% of Mallplaza's revenue.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Substitutes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93% of Mallplaza's rental income is fixed; 2Q26 visits +4.4% Chile, +1.3% Peru, +2.5% Colombia; shift to experience. No official e-commerce data by country.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i/>
          <w:iCs/>
          <w:color w:val="5F5F5F"/>
          <w:sz w:val="11"/>
          <w:szCs w:val="11"/>
        </w:rPr>
        <w:t xml:space="preserve">Source: Team analysis. Final score = average weighted by Mallplaza's GLA at 2Q26 (Chile 61.9%, Peru 26.2%, Colombia 11.9%), rounded to the nearest integer. For new entrants the weighted score sits at the threshold (1.5) and the team sets it at 2 because of lower entry barriers in Peru and Colombia.</w:t>
      </w:r>
    </w:p>
    <w:p>
      <w:pPr>
        <w:pBdr>
          <w:bottom w:val="single" w:color="E9004B" w:sz="8" w:space="1"/>
        </w:pBdr>
        <w:spacing w:after="50" w:before="12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B. PRICE INDICATORS BY OPERATOR, 2Q26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800"/>
        <w:gridCol w:w="2300"/>
        <w:gridCol w:w="2300"/>
        <w:gridCol w:w="2366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Indicator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Country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Mallplaza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Cenco Malls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Parque Arauco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Same-store or same-area rent (YoY change)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SSR +5.4%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SSR +0.8%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SAR +3.8%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Peru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SSR +4.7%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SSR +11.0%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SAR +3.0%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Colombia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SSR +7.5%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SSR −9.9%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SAR +13.0%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Monthly revenue per m² (YoY change)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CLP 28,618 (+6.6%)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Not published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CLP 31,571 (+9.6%)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Peru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PEN 66 (+10.0%)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Not published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PEN 68 (−0.1%)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Colombia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COP 84,790 (+8.0%)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Not published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COP 125,932 (+10.3%)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Occupancy cost (2Q25)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10.3% (10.2%)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9.1% (8.8%)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11.9% (11.1%)*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Peru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7.3% (7.4%)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8.8% (8.8%)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8.1% (8.4%)*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Colombia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10.5% (10.4%)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6.5% (7.5%)</w:t>
            </w:r>
          </w:p>
        </w:tc>
        <w:tc>
          <w:tcPr>
            <w:tcW w:type="dxa" w:w="23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11.7% (11.5%)*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i/>
          <w:iCs/>
          <w:color w:val="5F5F5F"/>
          <w:sz w:val="11"/>
          <w:szCs w:val="11"/>
        </w:rPr>
        <w:t xml:space="preserve">Source: Plaza S.A., 2Q26 Release (p.18); Cenco Malls, 2Q26 Earnings Presentation (p.17); Parque Arauco, 2Q26 Earnings Report (p.5, p.6 and p.21). Each indicator follows each company's definition: Mallplaza's SSR considers fixed rent in Chile and the change in the UF; Cenco's includes variable rent (Cenco 1Q26: “SSR Chile reflects the effect of lower sales”); Parque Arauco's SAR measures rent collected in areas leased in both periods. *Includes common expenses and promotion fund: its level is not comparable, its change is. Mallplaza's revenue per m² change in Colombia (+8.0%) is a team calculation: 84,790 / 78,545 − 1. Everything else is published data.</w:t>
      </w:r>
    </w:p>
    <w:p>
      <w:pPr>
        <w:keepNext/>
        <w:pBdr>
          <w:bottom w:val="single" w:color="14284B" w:sz="12" w:space="2"/>
        </w:pBdr>
        <w:spacing w:after="70" w:before="200"/>
      </w:pPr>
      <w:r>
        <w:rPr>
          <w:rFonts w:ascii="Arial" w:cs="Arial" w:eastAsia="Arial" w:hAnsi="Arial"/>
          <w:b/>
          <w:bCs/>
          <w:color w:val="14284B"/>
          <w:sz w:val="24"/>
          <w:szCs w:val="24"/>
        </w:rPr>
        <w:t xml:space="preserve">APPENDIX 7: MAIN ASSUMPTIONS</w:t>
      </w:r>
    </w:p>
    <w:p>
      <w:pPr>
        <w:shd w:fill="EEF1F6" w:color="auto" w:val="clear"/>
        <w:spacing w:after="8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Criteria used so that figures are comparable across operators and consistent with the official 2Q26 reports.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8866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Topic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Market share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Measured by GLA (not by sales) over each country's main operators (slide 7, 2Q26 Institutional Presentation). Partial HHI: considers only the operators identified on slide 7, so it is a floor (the real HHI is equal or higher); classified with the 2023 DOJ/FTC Merger Guidelines thresholds (above 1,800 = highly concentrated). Colombia pro forma: includes Gran Plaza (announced acquisition of 179,667 m²; 2Q26 Release); without it, Mallplaza's share would be 4.3%.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Pipeline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Only dated projects in official reports at 2Q26 and the 2025 Annual Report; dates given as a range are placed at the end of the range; acquisitions are not new supply for the industry.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Supply vs demand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Chile only and only m² that depend on consumption (excludes offices and multifamily); base GLA excludes Cenco's offices. Private consumption from the September 2026 IPoM is used as a demand indicator, not as a sales projection.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EBITDA per m²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EBITDA per each company's definition (none includes the IAS 40 revaluation); 2Q26 EBITDA not annualized; GLA consolidated at 100% of controlled assets. Parque Arauco: multifamily NOI (CLP 503 million) is subtracted, since its size is reported in units and not in m²; effect −0.7%, does not change the ranking.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Contracts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Profile and duration weighted by GLA. Cenco states it explicitly; Parque Arauco presents its maturity profile as % of GLA but does not state the basis of its average duration; Mallplaza does not publish the basis. In both cases GLA is assumed.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Real sales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Tenant sales in Chile 2Q26 vs 2Q25 deflated with the 12-month CPI of June 2026 (4.3%; INE, release of 08-07-2026). Cenco 2Q25 calculated from its published change (−1.9%).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Real Plaza (Peru)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InRetail 2Q26 adjusted EBITDA, Shopping Malls segment (S/ 131 million; excludes investment property revaluation) ÷ total GLA of 888,000 m² (InRetail, 2Q26 Corporate Presentation, p.26 and p.29). Mallplaza Peru: published monthly EBITDA per m² (S/ 53) × 3 (2Q26 Release, p.18). Margins are not compared: InRetail calculates its own on net rent.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Dates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Company data as of 30-Jun-2026; macro projections from the September 2026 IPoM as the most recent available.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810a8de8705d486a1cc41f629d6e44a63c29c7d.png"/><Relationship Id="rId10" Type="http://schemas.openxmlformats.org/officeDocument/2006/relationships/image" Target="media/79483e499b773861f736c4797e4f6cc8c65b3a9f.png"/><Relationship Id="rId11" Type="http://schemas.openxmlformats.org/officeDocument/2006/relationships/image" Target="media/30db9ba6696526f51fce71150cb064598929c4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2026-10-17T21:35:42.791Z</dcterms:created>
  <dcterms:modified xsi:type="dcterms:W3CDTF">2026-10-17T21:35:42.791Z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