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ANEXOS: INDUSTRIA Y POSICIONAMIENTO COMPETITIVO</w:t>
      </w:r>
    </w:p>
    <w:p>
      <w:pPr>
        <w:keepNext/>
        <w:pBdr>
          <w:bottom w:val="single" w:color="14284B" w:sz="12" w:space="2"/>
        </w:pBdr>
        <w:spacing w:after="70" w:before="60"/>
      </w:pPr>
      <w:r>
        <w:rPr>
          <w:rFonts w:ascii="Arial" w:cs="Arial" w:eastAsia="Arial" w:hAnsi="Arial"/>
          <w:b/>
          <w:bCs/>
          <w:color w:val="14284B"/>
          <w:sz w:val="24"/>
          <w:szCs w:val="24"/>
        </w:rPr>
        <w:t xml:space="preserve">ANEXO 3: OFERTA NUEVA DE GLA, 2026-2028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El trío agregará 432.030 m² entre 2026 y 2028, de los cuales 334.030 m² son orgánicos (6,4% de su GLA total actual; en Chile, 219.900 m², equivalentes al 6,7% de su GLA en ese país). Las adquisiciones (98.000 m², todas de Parque Arauco) cambian de dueño pero no suman oferta a la industria; por eso el análisis de oferta vs demanda en Chile (Figura 3) usa solo el GLA orgánico.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16"/>
        <w:gridCol w:w="565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A. PIPELINE POR EMPRESA (m²)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048000" cy="2057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GLA POR AÑO DE APERTURA (m²)</w:t>
            </w:r>
          </w:p>
          <w:tbl>
            <w:tblPr>
              <w:tblW w:type="dxa" w:w="56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900"/>
              <w:gridCol w:w="640"/>
              <w:gridCol w:w="640"/>
              <w:gridCol w:w="640"/>
              <w:gridCol w:w="740"/>
              <w:gridCol w:w="700"/>
              <w:gridCol w:w="740"/>
              <w:gridCol w:w="600"/>
            </w:tblGrid>
            <w:tr>
              <w:trPr>
                <w:tblHeader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Empresa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2026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2027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2028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Orgánico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Adquis.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Total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Org./GLA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Mallplaza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8.900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72.950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88.350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170.200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–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170.200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7,2%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Parque Arauco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87.000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46.000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42.330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77.330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98.000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175.330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Cenco Malls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–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34.000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52.500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86.500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–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86.500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Trío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95.900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152.950</w:t>
                  </w:r>
                </w:p>
              </w:tc>
              <w:tc>
                <w:tcPr>
                  <w:tcW w:type="dxa" w:w="6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183.180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334.030</w:t>
                  </w:r>
                </w:p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98.000</w:t>
                  </w:r>
                </w:p>
              </w:tc>
              <w:tc>
                <w:tcPr>
                  <w:tcW w:type="dxa" w:w="74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432.030</w:t>
                  </w:r>
                </w:p>
              </w:tc>
              <w:tc>
                <w:tcPr>
                  <w:tcW w:type="dxa" w:w="6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6,4%</w:t>
                  </w:r>
                </w:p>
              </w:tc>
            </w:tr>
          </w:tbl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Org./GLA = GLA orgánico 2026-2028 sobre GLA consolidado al 2Q26. Mallplaza: el 2028 incluye 46.500 m² de "Otros proyectos Chile", fechados en 2028 por la Memoria 2025 (p.45). Parque Arauco: 2026 = 2S26 (adquisiciones). Cenco: entregas en rango ubicadas al final del rango.</w:t>
            </w:r>
          </w:p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i/>
          <w:iCs/>
          <w:color w:val="5F5F5F"/>
          <w:sz w:val="11"/>
          <w:szCs w:val="11"/>
        </w:rPr>
        <w:t xml:space="preserve">Fuente: Plaza S.A., Release 2Q26 (p.13) y Memoria 2025 (p.45); Parque Arauco, Investor Presentation 2Q26 (slide 23); Cenco Malls, Corporate Presentation 2Q26 (slides 15-17). Solo proyectos con fecha.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14284B" w:sz="12" w:space="2"/>
              </w:pBdr>
              <w:spacing w:after="70" w:before="160"/>
            </w:pPr>
            <w:r>
              <w:rPr>
                <w:rFonts w:ascii="Arial" w:cs="Arial" w:eastAsia="Arial" w:hAnsi="Arial"/>
                <w:b/>
                <w:bCs/>
                <w:color w:val="14284B"/>
                <w:sz w:val="24"/>
                <w:szCs w:val="24"/>
              </w:rPr>
              <w:t xml:space="preserve">ANEXO 4: OCUPACIÓN</w:t>
            </w:r>
          </w:p>
          <w:p>
            <w:pPr>
              <w:shd w:fill="EEF1F6" w:color="auto" w:val="clear"/>
              <w:spacing w:after="8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ocupación consolidada de los tres operadores se ha mantenido entre 93% y 99% desde el 2T22, incluso durante el ciclo de inflación y tasas altas. Cada empresa define la ocupación de forma distinta, por lo que se comparan tendencias y no niveles.</w:t>
            </w:r>
          </w:p>
          <w:p>
            <w:pPr>
              <w:pBdr>
                <w:bottom w:val="single" w:color="E9004B" w:sz="8" w:space="1"/>
              </w:pBdr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A. TASA DE OCUPACIÓN CONSOLIDADA, 2T22-2T26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2238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Fuente: reportes de resultados 2T22-2T26 de las tres empresas. Mallplaza incluye Open Plaza desde el 2T25.</w:t>
            </w:r>
          </w:p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14284B" w:sz="12" w:space="2"/>
              </w:pBdr>
              <w:spacing w:after="70" w:before="160"/>
            </w:pPr>
            <w:r>
              <w:rPr>
                <w:rFonts w:ascii="Arial" w:cs="Arial" w:eastAsia="Arial" w:hAnsi="Arial"/>
                <w:b/>
                <w:bCs/>
                <w:color w:val="14284B"/>
                <w:sz w:val="24"/>
                <w:szCs w:val="24"/>
              </w:rPr>
              <w:t xml:space="preserve">ANEXO 5: PARTICIPACIÓN EN CHILE</w:t>
            </w:r>
          </w:p>
          <w:p>
            <w:pPr>
              <w:shd w:fill="EEF1F6" w:color="auto" w:val="clear"/>
              <w:spacing w:after="8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GLA del trío en Chile creció 7,3% desde el 2T22. Mallplaza cedió 1,2 pp de participación porque creció solo con ampliaciones, mientras Parque Arauco sumó Kennedy Oriente (70.000 m²) por compra.</w:t>
            </w:r>
          </w:p>
          <w:p>
            <w:pPr>
              <w:pBdr>
                <w:bottom w:val="single" w:color="E9004B" w:sz="8" w:space="1"/>
              </w:pBdr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A. PARTICIPACIÓN DENTRO DEL TRÍO, 2T22-2T26 (% DEL GLA)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Fuente: reportes de resultados 2T22-2T26 de las tres empresas; análisis del equipo.</w:t>
            </w:r>
          </w:p>
          <w:p/>
        </w:tc>
      </w:tr>
    </w:tbl>
    <w:p>
      <w:pPr>
        <w:keepNext/>
        <w:pageBreakBefore/>
        <w:pBdr>
          <w:bottom w:val="single" w:color="14284B" w:sz="12" w:space="2"/>
        </w:pBdr>
        <w:spacing w:after="70" w:before="0"/>
      </w:pPr>
      <w:r>
        <w:rPr>
          <w:rFonts w:ascii="Arial" w:cs="Arial" w:eastAsia="Arial" w:hAnsi="Arial"/>
          <w:b/>
          <w:bCs/>
          <w:color w:val="14284B"/>
          <w:sz w:val="24"/>
          <w:szCs w:val="24"/>
        </w:rPr>
        <w:t xml:space="preserve">ANEXO 6: CINCO FUERZAS DE PORTER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Industria atractiva: con notas enteras por país ponderadas por el GLA de Mallplaza, la única fuerza intensa es la rivalidad (4), que se da en experiencia y activos y no en precio, ya que en el 2T26 los arriendos en mismas tiendas subieron en Chile en los tres operadores (tabla B).</w:t>
      </w:r>
    </w:p>
    <w:p>
      <w:pPr>
        <w:pBdr>
          <w:bottom w:val="single" w:color="E9004B" w:sz="8" w:space="1"/>
        </w:pBdr>
        <w:spacing w:after="50" w:before="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NOTAS POR PAÍS Y EVIDENCIA PRINCIPAL (1 = FUERZA DÉBIL; 5 = FUERZA INTENSA)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600"/>
        <w:gridCol w:w="560"/>
        <w:gridCol w:w="780"/>
        <w:gridCol w:w="560"/>
        <w:gridCol w:w="6666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Fuerza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Chile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Perú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Colombia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Final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Evidencia principal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Rivalidad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CR3 76% / 37% / 13%; carrera de reinversión en experiencia; compra de activos (Minka, Plaza Central; anunciadas Quilín y Chicureo); oferta sobre consumo en 2027-28. Participaciones estables y márgenes de 71-90%. Sin guerra de precios: SSR/SAR positivos en Chile (tabla B).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Nuevos entrantes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Capital intensivo (USD 613 MM por 170.200 m² en Mallplaza); bancos de terrenos de incumbentes; Perú y Colombia menos concentrados; Colombia con mayoría de malls en propiedad horizontal.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Poder de los locatarios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Ocupación Chile 96-99%; contratos de 5,0-8,7 años promedio; top 5 = 18% de ingresos de Mallplaza; SSR Chile sobre IPC (6,9% vs 4,8%, 1T23-2T26); tiendas por departamento 19,0% del GLA.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Poder de los proveedores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Gasto común traspasado al locatario (Memoria 2025, nota 2.20); costo de ventas 6,2% de ingresos de Mallplaza.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Sustitutos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6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93% del ingreso por arriendo de Mallplaza es fijo; visitas 2T26 +4,4% Chile, +1,3% Perú, +2,5% Colombia; giro a experiencia. Sin datos oficiales de e-commerce por país.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i/>
          <w:iCs/>
          <w:color w:val="5F5F5F"/>
          <w:sz w:val="11"/>
          <w:szCs w:val="11"/>
        </w:rPr>
        <w:t xml:space="preserve">Fuente: análisis del equipo. Nota final = promedio ponderado por GLA de Mallplaza al 2Q26 (Chile 61,9%, Perú 26,2%, Colombia 11,9%), redondeado al entero. En nuevos entrantes el ponderado queda en el límite (1,5) y el equipo lo fija en 2 por las menores barreras de entrada en Perú y Colombia.</w:t>
      </w:r>
    </w:p>
    <w:p>
      <w:pPr>
        <w:pBdr>
          <w:bottom w:val="single" w:color="E9004B" w:sz="8" w:space="1"/>
        </w:pBdr>
        <w:spacing w:after="50" w:before="12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INDICADORES DE PRECIO POR OPERADOR, 2T26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0"/>
        <w:gridCol w:w="800"/>
        <w:gridCol w:w="2300"/>
        <w:gridCol w:w="2300"/>
        <w:gridCol w:w="2366"/>
      </w:tblGrid>
      <w:tr>
        <w:trPr>
          <w:tblHeader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Indicador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Mallplaza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Cenco Malls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Parque Arauco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Arriendo en mismas tiendas o áreas (var. a/a)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SSR +5,4%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SSR +0,8%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SAR +3,8%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SSR +4,7%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SSR +11,0%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SAR +3,0%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SSR +7,5%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SSR −9,9%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SAR +13,0%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 mensual por m² (var. a/a)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CLP 28.618 (+6,6%)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 publica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CLP 31.571 (+9,6%)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PEN 66 (+10,0%)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 publica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PEN 68 (−0,1%)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COP 84.790 (+8,0%)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 publica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COP 125.932 (+10,3%)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Costo de ocupación (2T25)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10,3% (10,2%)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9,1% (8,8%)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11,9% (11,1%)*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7,3% (7,4%)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8,8% (8,8%)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8,1% (8,4%)*</w:t>
            </w:r>
          </w:p>
        </w:tc>
      </w:tr>
      <w:tr>
        <w:trPr>
          <w:cantSplit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 (10,4%)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6,5% (7,5%)</w:t>
            </w:r>
          </w:p>
        </w:tc>
        <w:tc>
          <w:tcPr>
            <w:tcW w:type="dxa" w:w="23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11,7% (11,5%)*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i/>
          <w:iCs/>
          <w:color w:val="5F5F5F"/>
          <w:sz w:val="11"/>
          <w:szCs w:val="11"/>
        </w:rPr>
        <w:t xml:space="preserve">Fuente: Plaza S.A., Release 2Q26 (p.18); Cenco Malls, Presentación de Resultados 2T26 (p.17); Parque Arauco, Reporte de Resultados 2T26 (p.5, p.6 y p.21). Cada indicador según la definición de cada empresa: el SSR de Mallplaza considera arriendo fijo de Chile y la variación de la UF; el de Cenco incluye arriendo variable (Cenco 1T26: "SSR Chile acusa el efecto de menores ventas"); el SAR de Parque Arauco mide el arriendo recaudado en áreas arrendadas en ambos períodos. *Incluye gasto común y fondo de promoción: su nivel no es comparable, sí su variación. La variación del ingreso por m² de Mallplaza en Colombia (+8,0%) es cálculo del equipo: 84.790 / 78.545 − 1. Todo lo demás es dato publicado.</w:t>
      </w:r>
    </w:p>
    <w:p>
      <w:pPr>
        <w:keepNext/>
        <w:pBdr>
          <w:bottom w:val="single" w:color="14284B" w:sz="12" w:space="2"/>
        </w:pBdr>
        <w:spacing w:after="70" w:before="200"/>
      </w:pPr>
      <w:r>
        <w:rPr>
          <w:rFonts w:ascii="Arial" w:cs="Arial" w:eastAsia="Arial" w:hAnsi="Arial"/>
          <w:b/>
          <w:bCs/>
          <w:color w:val="14284B"/>
          <w:sz w:val="24"/>
          <w:szCs w:val="24"/>
        </w:rPr>
        <w:t xml:space="preserve">ANEXO 7: SUPUESTOS PRINCIPALES</w:t>
      </w:r>
    </w:p>
    <w:p>
      <w:pPr>
        <w:shd w:fill="EEF1F6" w:color="auto" w:val="clear"/>
        <w:spacing w:after="8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Criterios usados para que las cifras sean comparables entre operadores y consistentes con los reportes oficiales al 2T26.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8866"/>
      </w:tblGrid>
      <w:tr>
        <w:trPr>
          <w:tblHeader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Tema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Market share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Medido por GLA (no por ventas) sobre los principales operadores de cada país (slide 7, Presentación Institucional 2Q26). HHI parcial: considera solo a los operadores identificados en la slide 7, por lo que es un piso (el HHI real es igual o mayor); se clasifica con los umbrales de las Merger Guidelines DOJ/FTC 2023 (sobre 1.800 = altamente concentrado). Colombia pro forma: incluye Gran Plaza (adquisición anunciada de 179.667 m²; Release 2Q26); sin ella, la participación de Mallplaza sería 4,3%.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Pipeline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Solo proyectos con fecha en reportes oficiales al 2Q26 y Memoria 2025; fechas en rango al final del rango; las adquisiciones no son oferta nueva para la industria.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Oferta vs demanda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Solo Chile y solo m² que dependen del consumo (excluye oficinas y multifamily); GLA base sin las oficinas de Cenco. El consumo privado del IPoM sep-2026 se usa como indicador de demanda, no como proyección de ventas.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EBITDA por m²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según la definición de cada empresa (ninguna incluye la revalorización bajo NIC 40); EBITDA del 2T26 sin anualizar; GLA consolidado al 100% de los activos controlados. Parque Arauco: se resta el NOI multifamily (503 MM CLP), cuyo tamaño se reporta en unidades y no en m²; efecto −0,7%, no cambia el orden.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Contratos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Perfil y duración ponderados por GLA. Cenco lo indica explícitamente; Parque Arauco presenta su perfil de vencimientos en % del GLA, pero no indica la base de su duración promedio; Mallplaza no publica la base. En ambos casos se asume GLA.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Ventas reales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Ventas de locatarios en Chile 2T26 vs 2T25 deflactadas con el IPC a 12 meses de junio 2026 (4,3%; INE, comunicado del 08-07-2026). Cenco 2T25 calculado desde su variación publicada (−1,9%).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Real Plaza (Perú)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ajustado del 2T26 de InRetail, segmento Shopping Malls (S/ 131 MM; excluye revaluación de propiedades de inversión) ÷ GLA total de 888.000 m² (InRetail, Corporate Presentation 2Q26, p.26 y p.29). Mallplaza Perú: EBITDA mensual por m² publicado (S/ 53) × 3 (Release 2Q26, p.18). No se comparan márgenes: InRetail calcula el suyo sobre renta neta.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Fechas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Datos de empresas al 30-jun-2026; proyecciones macro del IPoM de septiembre 2026 por ser las vigentes más recientes.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38682b6a2423995622f6a04ae6a9ebde6b1b73c.png"/><Relationship Id="rId10" Type="http://schemas.openxmlformats.org/officeDocument/2006/relationships/image" Target="media/68d45e370e4ab8a3c4bafdcf440cb34d293a9255.png"/><Relationship Id="rId11" Type="http://schemas.openxmlformats.org/officeDocument/2006/relationships/image" Target="media/ff2104c08e4ce6fa65fd948e42737135974bf6c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2026-10-17T21:35:42.530Z</dcterms:created>
  <dcterms:modified xsi:type="dcterms:W3CDTF">2026-10-17T21:35:42.530Z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