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is a high-probability rise in interest rates that lifts the WACC, followed by inflation and weaker macro momentum. None of the risks analysed takes the target price above the current share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effect of UF indexation (Figure 26). Interest-rate risk (FR1) sits in the most severe cell (high/high), and inflation and the macro cycle (MR1) also fall in the red zone.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1,693 (−10.0%), and the historical floor of same-store rent growth takes it to CLP 1,805 (−4.0%) (Figure 24). </w:t>
            </w:r>
            <w:r>
              <w:rPr>
                <w:rFonts w:ascii="Arial" w:cs="Arial" w:eastAsia="Arial" w:hAnsi="Arial"/>
                <w:i/>
                <w:iCs/>
                <w:color w:val="5F5F5F"/>
                <w:sz w:val="16"/>
                <w:szCs w:val="16"/>
              </w:rPr>
              <w:t xml:space="preserve">(Non‑systematic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(2Q20 revenue −72%),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In 2025 Mallplaza already converted 14,000 m² of large-format space in five malls. The impact is bounded by the traffic and rent bars of the tornado (−1.3% to −4.0%, Figure 24). </w:t>
            </w:r>
            <w:r>
              <w:rPr>
                <w:rFonts w:ascii="Arial" w:cs="Arial" w:eastAsia="Arial" w:hAnsi="Arial"/>
                <w:i/>
                <w:iCs/>
                <w:color w:val="5F5F5F"/>
                <w:sz w:val="16"/>
                <w:szCs w:val="16"/>
              </w:rPr>
              <w:t xml:space="preserve">(Non‑systematic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6.7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its highest since 2007; the Fed hiked in September and the Central Bank of Chile reports rising local long-term rates. With WACC +50 bp and +100 bp, the target price falls 6.6% and 12.4%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(base case) takes CLP 38,691 million off earnings (Figure 26). Weaker consumption hurts tenant sales and, without GDP growth, the new business lines Mallplaza has captured do not emerge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work as last-mile hubs and offer entertainment and dining, an experience that is hard to replicate online.</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to corporate tax and permitting create uncertainty when evaluating pipeline projects (USD 613 million, 170,200 m² to 2028). Permit delays push back revenue, although the value sensitivity is limited.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pro-market governments in all three countries (Kast, Fujimori, De La Espriella). Law 21,770 shortens permitting times, and the Reconstruction Law cuts corporate tax from 27% to 23% in 2029 (the model uses 27%).</w:t>
            </w:r>
          </w:p>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The worst operating case, EBITDA margin, takes 10.0% off value (Figure 24), while +100 bp of WACC takes 12.4% off the target price (Figure 25). The current price implies a cap rate close to 6.0%, versus 10.0% in the DCF: the market prices in a low discount rate, which increases the stock's exposure to higher rates. A higher g lowers value because RONIC (5.0%) is below the real WACC (7.2%). Even the best cell in Figure 25 (CLP 2,511)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WACC 10.37%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Earnings sensitivity to a rise in the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reported sensitivity; +1% and +2% linear extrapolation. Source: Mallplaza financial statements Jun-26, Note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b43a05bc49ad2150d2bb5a82daacce8efff975.png"/><Relationship Id="rId10" Type="http://schemas.openxmlformats.org/officeDocument/2006/relationships/image" Target="media/a6750a0f41b3a67834cac15d4a1ed5f0370191e5.png"/><Relationship Id="rId11" Type="http://schemas.openxmlformats.org/officeDocument/2006/relationships/image" Target="media/6cbf728d739090d50e2ff8aff085c181e835cddc.png"/><Relationship Id="rId12" Type="http://schemas.openxmlformats.org/officeDocument/2006/relationships/image" Target="media/7226c19ffe9fb2627107f1f56ebf323c9a2133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2026-10-11T17:46:37.214Z</dcterms:created>
  <dcterms:modified xsi:type="dcterms:W3CDTF">2026-10-11T17:46:37.214Z</dcterms:modified>
</cp:coreProperties>
</file>

<file path=docProps/custom.xml><?xml version="1.0" encoding="utf-8"?>
<Properties xmlns="http://schemas.openxmlformats.org/officeDocument/2006/custom-properties" xmlns:vt="http://schemas.openxmlformats.org/officeDocument/2006/docPropsVTypes"/>
</file>