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RIESGOS DE INVERSIÓN</w:t>
      </w:r>
    </w:p>
    <w:p>
      <w:pPr>
        <w:shd w:fill="EEF1F6" w:color="auto" w:val="clear"/>
        <w:spacing w:after="80" w:before="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El perfil de riesgo de Mallplaza es moderado: su operación es resiliente y el valor depende sobre todo de variables de mercado. El principal riesgo es una subida de tasas, de probabilidad alta, que eleva la WACC; le siguen la inflación y un menor dinamismo macro. Ningún riesgo analizado lleva el precio objetivo por sobre el precio actual.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1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EVALUACIÓN DE RIESGOS</w:t>
            </w:r>
          </w:p>
          <w:p>
            <w:pPr>
              <w:spacing w:after="4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Figura 23 ubica cada riesgo en una matriz 3x3 según su probabilidad y su impacto (bajo, medio, alto); el color de cada etiqueta indica su categoría. El impacto se mide por el efecto sobre el valor por acción, usando el tornado operacional (Figura 24), la sensibilidad a WACC y g (Figura 25) y el efecto del reajuste de la UF (Figura 26). El riesgo de tasas (FR1) ocupa la celda de mayor severidad (alta/alta) y el de inflación y ciclo macro (MR1) también queda en la zona roja.</w:t>
            </w:r>
          </w:p>
          <w:p>
            <w:pPr>
              <w:pBdr>
                <w:bottom w:val="single" w:color="E9004B" w:sz="8" w:space="1"/>
              </w:pBdr>
              <w:spacing w:after="50" w:before="11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RIESGOS OPERACIONALES</w:t>
            </w:r>
          </w:p>
          <w:p>
            <w:pPr>
              <w:spacing w:after="14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Deterioro operacional.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Caídas de margen EBITDA, rentas, tráfico u ocupación hacia sus mínimos históricos. El peor caso, un margen de 75,8%, reduce el valor DCF a CLP 1.693 (−10,0%), y el piso histórico del crecimiento de rentas en mismas tiendas lo lleva a CLP 1.805 (−4,0%) (Figura 24). </w:t>
            </w:r>
            <w:r>
              <w:rPr>
                <w:rFonts w:ascii="Arial" w:cs="Arial" w:eastAsia="Arial" w:hAnsi="Arial"/>
                <w:i/>
                <w:iCs/>
                <w:color w:val="5F5F5F"/>
                <w:sz w:val="16"/>
                <w:szCs w:val="16"/>
              </w:rPr>
              <w:t xml:space="preserve">(No sistemático · Prob. media · Impacto bajo)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Mitigantes: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métricas estables: margen EBITDA de 76,2% (2022) a 80,5% (2025) y ocupación entre 95,5% y 96,6% en 2024-25. Tras el COVID (2T20: ingresos −72%), los ingresos del 1T22 ya superaban en 18% a los del 1T19.</w:t>
            </w:r>
          </w:p>
          <w:p>
            <w:pPr>
              <w:spacing w:after="14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Tiendas ancla.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Las anclas, en su mayoría del grupo Falabella, atraen el flujo de visitas. Su reducción o salida bajaría las visitas y las rentas de las tiendas menores. En 2025 Mallplaza ya reconvirtió 14.000 m² de gran formato en cinco malls. El impacto se acota al tornado de tráfico y rentas (−1,3% a −4,0%, Figura 24). </w:t>
            </w:r>
            <w:r>
              <w:rPr>
                <w:rFonts w:ascii="Arial" w:cs="Arial" w:eastAsia="Arial" w:hAnsi="Arial"/>
                <w:i/>
                <w:iCs/>
                <w:color w:val="5F5F5F"/>
                <w:sz w:val="16"/>
                <w:szCs w:val="16"/>
              </w:rPr>
              <w:t xml:space="preserve">(No sistemático · Prob. baja · Impacto medio)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Mitigantes: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contratos de largo plazo (duración remanente promedio de 6,7 años) y capacidad probada de reconvertir espacios ancla en tiendas menores con mayor renta por m².</w:t>
            </w:r>
          </w:p>
          <w:p>
            <w:pPr>
              <w:pBdr>
                <w:bottom w:val="single" w:color="E9004B" w:sz="8" w:space="1"/>
              </w:pBdr>
              <w:spacing w:after="50" w:before="11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RIESGOS FINANCIEROS</w:t>
            </w:r>
          </w:p>
          <w:p>
            <w:pPr>
              <w:spacing w:after="14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Tasas de interés y costo de capital.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Un alza de tasas largas elevaría la WACC y el costo de refinanciar la deuda y el pipeline. La probabilidad es alta: el UST 10Y pasó de 4,98% (Rf del modelo) a 5,22% al 8-oct-26, máximo desde 2007; la Fed subió su tasa en septiembre y el BCCh reporta alzas en las tasas largas locales. Con WACC +50 pb y +100 pb, el precio objetivo cae 6,6% y 12,4% (Figura 25). </w:t>
            </w:r>
            <w:r>
              <w:rPr>
                <w:rFonts w:ascii="Arial" w:cs="Arial" w:eastAsia="Arial" w:hAnsi="Arial"/>
                <w:i/>
                <w:iCs/>
                <w:color w:val="5F5F5F"/>
                <w:sz w:val="16"/>
                <w:szCs w:val="16"/>
              </w:rPr>
              <w:t xml:space="preserve">(Sistemático · Prob. alta · Impacto alto)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Mitigantes: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79% de la deuda en UF a tasa fija, duración de ~6,7 años, DFN/EBITDA de 2,36x y rating AA+/BBB acotan el traspaso al costo de la deuda; los arriendos en UF compensan alzas inflacionarias. El alza de la tasa de descuento del patrimonio no es cubrible.</w:t>
            </w:r>
          </w:p>
          <w:p>
            <w:pPr>
              <w:pBdr>
                <w:bottom w:val="single" w:color="E9004B" w:sz="8" w:space="1"/>
              </w:pBdr>
              <w:spacing w:after="50" w:before="11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RIESGOS DE MERCADO Y MACROECONÓMICOS</w:t>
            </w:r>
          </w:p>
          <w:p>
            <w:pPr>
              <w:spacing w:after="14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Inflación y ciclo macro.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79% de la deuda está en UF: una UF 3% más alta (caso base) resta CLP 38.691 MM a la utilidad (Figura 26). Un menor consumo afecta las ventas de los locatarios y, sin crecimiento del PIB, no surgen las nuevas líneas de negocio que Mallplaza ha capturado (Anexo [X]). </w:t>
            </w:r>
            <w:r>
              <w:rPr>
                <w:rFonts w:ascii="Arial" w:cs="Arial" w:eastAsia="Arial" w:hAnsi="Arial"/>
                <w:i/>
                <w:iCs/>
                <w:color w:val="5F5F5F"/>
                <w:sz w:val="16"/>
                <w:szCs w:val="16"/>
              </w:rPr>
              <w:t xml:space="preserve">(Sistemático · Prob. alta · Impacto medio)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Mitigantes: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rentas indexadas a la UF, modelo basado en arriendo más que en ventas, deuda baja aunque creciente y capacidad activa de rotar el portafolio.</w:t>
            </w:r>
          </w:p>
          <w:p>
            <w:pPr>
              <w:spacing w:after="14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MR2: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Comercio electrónico.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Si el consumo migra masivamente al canal online, el mall pierde tráfico y atractivo. El e-commerce en Chile superó US$ 10.000 MM en 2025, cerca del 12,6% de las ventas del comercio. El peor caso de tráfico solo resta 1,3% al valor (Figura 24). </w:t>
            </w:r>
            <w:r>
              <w:rPr>
                <w:rFonts w:ascii="Arial" w:cs="Arial" w:eastAsia="Arial" w:hAnsi="Arial"/>
                <w:i/>
                <w:iCs/>
                <w:color w:val="5F5F5F"/>
                <w:sz w:val="16"/>
                <w:szCs w:val="16"/>
              </w:rPr>
              <w:t xml:space="preserve">(Sistemático · Prob. baja · Impacto medio)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Mitigantes: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canal online está madurando sin efecto visible en el modelo (visitas +16% en 2025). Los malls operan como nodos de última milla y ofrecen entretención y gastronomía, una experiencia difícil de replicar online.</w:t>
            </w:r>
          </w:p>
          <w:p>
            <w:pPr>
              <w:pBdr>
                <w:bottom w:val="single" w:color="E9004B" w:sz="8" w:space="1"/>
              </w:pBdr>
              <w:spacing w:after="50" w:before="11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RIESGOS REGULATORIOS Y ESG</w:t>
            </w:r>
          </w:p>
          <w:p>
            <w:pPr>
              <w:spacing w:after="14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Interlocking y conflictos de interés.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Falabella controla el 53,05% y arrienda espacios a través de Falabella, Sodimac y Tottus, lo que genera cuentas por cobrar con relacionadas. Fernando de Peña, gerente de Mallplaza por décadas, preside Falabella desde marzo de 2026. Contratos fuera de mercado afectarían directamente las rentas y el valor. </w:t>
            </w:r>
            <w:r>
              <w:rPr>
                <w:rFonts w:ascii="Arial" w:cs="Arial" w:eastAsia="Arial" w:hAnsi="Arial"/>
                <w:i/>
                <w:iCs/>
                <w:color w:val="5F5F5F"/>
                <w:sz w:val="16"/>
                <w:szCs w:val="16"/>
              </w:rPr>
              <w:t xml:space="preserve">(No sistemático · Prob. baja · Impacto alto)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Mitigantes: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comité de directores de tres miembros y revisión de operaciones con partes relacionadas (Ley 18.046). Aun así, las salvaguardas son pocas: solo 1 de 9 directores es independiente.</w:t>
            </w:r>
          </w:p>
          <w:p>
            <w:pPr>
              <w:spacing w:after="14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RR2: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Regulatorio y político.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cambios en el impuesto corporativo y en la permisología generan incertidumbre al evaluar los proyectos del pipeline (USD 613 MM, 170.200 m² hasta 2028). Un retraso en los permisos posterga ingresos, aunque la sensibilidad del valor es acotada. </w:t>
            </w:r>
            <w:r>
              <w:rPr>
                <w:rFonts w:ascii="Arial" w:cs="Arial" w:eastAsia="Arial" w:hAnsi="Arial"/>
                <w:i/>
                <w:iCs/>
                <w:color w:val="5F5F5F"/>
                <w:sz w:val="16"/>
                <w:szCs w:val="16"/>
              </w:rPr>
              <w:t xml:space="preserve">(Sistemático · Prob. media · Impacto bajo)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Mitigantes: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gobiernos pro mercado en los tres países (Kast, Fujimori, De La Espriella). La Ley 21.770 acorta los plazos de permisos y la Ley de Reconstrucción baja el impuesto corporativo de 27% a 23% en 2029 (el modelo usa 27%).</w:t>
            </w:r>
          </w:p>
          <w:p>
            <w:pPr>
              <w:pBdr>
                <w:bottom w:val="single" w:color="E9004B" w:sz="8" w:space="1"/>
              </w:pBdr>
              <w:spacing w:after="50" w:before="11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ANÁLISIS DE SENSIBILIDAD</w:t>
            </w:r>
          </w:p>
          <w:p>
            <w:pPr>
              <w:spacing w:after="4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valor es más sensible a la tasa de descuento que a la operación. El peor caso operacional, el margen EBITDA, resta 10,0% (Figura 24), mientras que +100 pb de WACC restan 12,4% al precio objetivo (Figura 25). El precio actual implica un cap rate cercano a 6,0%, frente a 10,0% en el DCF: el mercado descuenta una tasa baja, lo que aumenta la exposición de la acción a un alza de tasas. Un g mayor reduce el valor porque el RONIC (5,0%) es menor que la WACC real (7,2%). Incluso la mejor celda de la Figura 25 (CLP 2.511) queda bajo el precio de CLP 3.555, por lo que la recomendación se mantiene.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Matriz de riesgos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Color de fondo = severidad (probabilidad × impacto). Fuente: análisis del equipo.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Tornado de riesgo operacional (CLP por acción)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2152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15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Límites = mínimo y máximo histórico de cada variable: releases de resultados de Mallplaza 4T23–2T26 (margen EBITDA, ocupación, rentas y ventas en mismas tiendas, visitas) y EEFF (capex de mantención 2024 y UDM 2T26; rango de crecimiento de la tasación, Nota 11). WACC 10,37% y g 3,0% constantes. Fuente: Mallplaza; análisis del equipo.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Sensibilidad del precio objetivo: WACC vs g (CLP)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Precio objetivo = 80% DCF + 20% múltiplos EV/EBITDA (CLP 2.951). Fuente: análisis del equipo.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Sensibilidad de la utilidad a un alza de la UF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190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+3% = sensibilidad reportada; +1% y +2% por extrapolación lineal. Fuente: EEFF de Mallplaza a jun-26, Nota 26.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9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5569969bf4bd1e59ce0eea236bb80e91a4c45ab.png"/><Relationship Id="rId10" Type="http://schemas.openxmlformats.org/officeDocument/2006/relationships/image" Target="media/59718b7b18d30055aed2199a636699f1a41361fe.png"/><Relationship Id="rId11" Type="http://schemas.openxmlformats.org/officeDocument/2006/relationships/image" Target="media/946a1e21d49115da53d80e8eb842a415bc3aacdf.png"/><Relationship Id="rId12" Type="http://schemas.openxmlformats.org/officeDocument/2006/relationships/image" Target="media/504a8896705ded5280a811b587d5f9a20dada1c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2026-10-11T17:46:36.968Z</dcterms:created>
  <dcterms:modified xsi:type="dcterms:W3CDTF">2026-10-11T17:46:36.968Z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