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p>
      <w:pPr>
        <w:shd w:fill="EEF1F6" w:color="auto" w:val="clear"/>
        <w:spacing w:after="80" w:line="228"/>
      </w:pPr>
      <w:sdt>
        <w:sdtPr>
          <w:rPr>
            <w:rFonts w:ascii="Arial" w:hAnsi="Arial" w:cs="Arial"/>
            <w:color w:val="1A1A1A"/>
            <w:sz w:val="16"/>
            <w:szCs w:val="16"/>
          </w:rPr>
          <w:id w:val="1000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36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1 and which risks fall in the high-risk zone.]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8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4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7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20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p>
            <w:pPr>
              <w:spacing w:after="40" w:before="0" w:line="228"/>
              <w:jc w:val="both"/>
            </w:pP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2–4: which drivers move the value per share most, the downside versus the base case, and whether the recommendation holds.]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(CLP per share)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783281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783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554655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55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91c504cdafac82d39d0b08b96e6f34d33f4f7b3.png"/><Relationship Id="rId10" Type="http://schemas.openxmlformats.org/officeDocument/2006/relationships/image" Target="media/152972a9c0a42494cb472120ade4ceb5c6155868.png"/><Relationship Id="rId11" Type="http://schemas.openxmlformats.org/officeDocument/2006/relationships/image" Target="media/b8f294e63ccf71915e5963cd50717c82f918e8dc.png"/><Relationship Id="rId12" Type="http://schemas.openxmlformats.org/officeDocument/2006/relationships/image" Target="media/9d31dd3e76b3dcb95aa175fdaea7bf1546522fc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2026-10-07T01:43:25.460Z</dcterms:created>
  <dcterms:modified xsi:type="dcterms:W3CDTF">2026-10-07T01:43:25.460Z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