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ANEXOS: INDUSTRIA Y POSICIONAMIENTO COMPETITIVO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rPr>
          <w:cantSplit/>
        </w:trP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A: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Pipeline de GLA 2026-2028: orgánico vs adquisiciones (m²)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514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Fuente: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reportes 2Q26 y Memoria 2025 de Plaza S.A.; Parque Arauco Investor Presentation 2Q26; Cenco Malls Corporate Presentation 2Q26. Solo proyectos con fecha.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C: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Participación de mercado dentro del trío en Chile, 2T22-2T26 (% del GLA)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743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Fuente: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reportes de resultados 2T22-2T26 de las tres empresas; análisis del equipo.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B: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Tasa de ocupación consolidada, 2T22-2T26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514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i w:val="false"/>
                <w:iCs w:val="false"/>
                <w:color w:val="5F5F5F"/>
                <w:sz w:val="11"/>
                <w:szCs w:val="11"/>
              </w:rPr>
              <w:t xml:space="preserve">Fuente: </w:t>
            </w:r>
            <w:r>
              <w:rPr>
                <w:rFonts w:ascii="Arial" w:cs="Arial" w:eastAsia="Arial" w:hAnsi="Arial"/>
                <w:i/>
                <w:iCs/>
                <w:color w:val="5F5F5F"/>
                <w:sz w:val="11"/>
                <w:szCs w:val="11"/>
              </w:rPr>
              <w:t xml:space="preserve">reportes de resultados 2T22-2T26 de las tres empresas. Cada empresa define la ocupación distinto; Mallplaza incluye Open Plaza desde 2T25.</w:t>
            </w:r>
          </w:p>
        </w:tc>
      </w:tr>
    </w:tbl>
    <w:p>
      <w:pPr>
        <w:spacing w:after="30" w:before="14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Anexo D: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Cinco fuerzas de Porter por país y evidencia principal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620"/>
        <w:gridCol w:w="620"/>
        <w:gridCol w:w="800"/>
        <w:gridCol w:w="620"/>
        <w:gridCol w:w="6306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Fuerza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Chile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Perú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Colombia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Final</w:t>
            </w:r>
          </w:p>
        </w:tc>
        <w:tc>
          <w:tcPr>
            <w:tcW w:type="dxa" w:w="6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Evidencia principal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Rivalidad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630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CR3 76% / 37% / 13%; carrera de reinversión en experiencia; compra de activos (Minka, Plaza Central; anunciadas Quilín y Chicureo); oferta sobre consumo en 2027-28. Participaciones estables y márgenes de 71-90%.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Nuevos entrantes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3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30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Capital intensivo (USD 613 MM por 170.200 m² en Mallplaza); bancos de terrenos de incumbentes; Perú y Colombia menos concentrados; Colombia con mayoría de malls en propiedad horizontal.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Poder de los locatarios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30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Ocupación Chile 96-99%; contratos de 5,0-8,7 años promedio; top 5 = 18% de ingresos de Mallplaza; SSR Chile sobre IPC (6,9% vs 4,8%, 1T23-2T26); tiendas por departamento 19,0% del GLA.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Poder de los proveedores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1</w:t>
            </w:r>
          </w:p>
        </w:tc>
        <w:tc>
          <w:tcPr>
            <w:tcW w:type="dxa" w:w="630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Gasto común traspasado al locatario (Memoria 2025, nota 2.20); costo de ventas 6,2% de ingresos de Mallplaza.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Sustitutos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2</w:t>
            </w:r>
          </w:p>
        </w:tc>
        <w:tc>
          <w:tcPr>
            <w:tcW w:type="dxa" w:w="630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93% del ingreso por arriendo de Mallplaza es fijo; visitas 2T26 +4,4% Chile, +1,3% Perú, +2,5% Colombia; giro a experiencia. Sin datos oficiales de e-commerce por país.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i w:val="false"/>
          <w:iCs w:val="false"/>
          <w:color w:val="5F5F5F"/>
          <w:sz w:val="11"/>
          <w:szCs w:val="11"/>
        </w:rPr>
        <w:t xml:space="preserve">Fuente: </w:t>
      </w:r>
      <w:r>
        <w:rPr>
          <w:rFonts w:ascii="Arial" w:cs="Arial" w:eastAsia="Arial" w:hAnsi="Arial"/>
          <w:i/>
          <w:iCs/>
          <w:color w:val="5F5F5F"/>
          <w:sz w:val="11"/>
          <w:szCs w:val="11"/>
        </w:rPr>
        <w:t xml:space="preserve">análisis del equipo. Escala 1-5 en números enteros; nota final = promedio ponderado por GLA de Mallplaza al 2Q26 (Chile 61,9%, Perú 26,2%, Colombia 11,9%), redondeado al entero. En nuevos entrantes el ponderado queda en el límite (1,5) y el equipo lo fija en 2 por las menores barreras de entrada en Perú y Colombia. Detalle y fuentes por dato en Porter_industria_2Q26.xlsx.</w:t>
      </w:r>
    </w:p>
    <w:p>
      <w:pPr>
        <w:spacing w:after="30" w:before="14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Anexo E: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Supuestos principales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966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Tema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Supuesto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Market share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Medido por GLA (no por ventas) sobre los principales operadores de cada país (slide 7, Presentación Institucional 2Q26). HHI parcial: es un piso.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Pipeline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Solo proyectos con fecha en reportes oficiales al 2Q26 y Memoria 2025; fechas en rango al final del rango; las adquisiciones no son oferta nueva para la industria.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Oferta vs demanda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Solo Chile y solo m² que dependen del consumo (excluye oficinas y multifamily); GLA base sin las oficinas de Cenco. El consumo privado del IPoM sep-2026 se usa como indicador de demanda, no como proyección de ventas.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EBITDA por m²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EBITDA según la definición de cada empresa (ninguna incluye la revalorización bajo NIC 40); EBITDA del 2T26 sin anualizar; GLA consolidado al 100% de los activos controlados.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Contratos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Perfil y duración ponderados por GLA: explícito en Cenco y en el perfil de Parque Arauco; supuesto para Mallplaza.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Ventas reales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Ventas de locatarios en Chile 2T26 vs 2T25 deflactadas con el IPC a 12 meses de junio 2026 (4,3%; INE, comunicado del 08-07-2026). Cenco 2T25 calculado desde su variación publicada (−1,9%).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4284B"/>
                <w:sz w:val="13"/>
                <w:szCs w:val="13"/>
              </w:rPr>
              <w:t xml:space="preserve">Fechas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Datos de empresas al 30-jun-2026; proyecciones macro del IPoM de septiembre 2026 por ser las vigentes más recientes.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8682b6a2423995622f6a04ae6a9ebde6b1b73c.png"/><Relationship Id="rId10" Type="http://schemas.openxmlformats.org/officeDocument/2006/relationships/image" Target="media/ff2104c08e4ce6fa65fd948e42737135974bf6c7.png"/><Relationship Id="rId11" Type="http://schemas.openxmlformats.org/officeDocument/2006/relationships/image" Target="media/68d45e370e4ab8a3c4bafdcf440cb34d293a925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2026-10-14T18:10:00.616Z</dcterms:created>
  <dcterms:modified xsi:type="dcterms:W3CDTF">2026-10-14T18:10:00.616Z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