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DE UN MALL EN LA FLORIDA A 37 CENTROS URBANOS EN LA REGIÓN ANDINA</w:t>
            </w:r>
          </w:p>
          <w:p>
            <w:pPr>
              <w:spacing w:after="60" w:before="0" w:line="228" w:lineRule="auto"/>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pBdr>
                <w:bottom w:val="single" w:color="E9004B" w:sz="8" w:space="1"/>
              </w:pBdr>
              <w:spacing w:after="50" w:before="90"/>
            </w:pPr>
            <w:r>
              <w:rPr>
                <w:rFonts w:ascii="Arial" w:cs="Arial" w:eastAsia="Arial" w:hAnsi="Arial"/>
                <w:b/>
                <w:bCs/>
                <w:color w:val="14284B"/>
                <w:sz w:val="16"/>
                <w:szCs w:val="16"/>
              </w:rPr>
              <w:t xml:space="preserve">UN MIX DE LOCATARIOS QUE SE REINVENTA Y MÁRGENES ALTOS POR DISEÑO</w:t>
            </w:r>
          </w:p>
          <w:p>
            <w:pPr>
              <w:spacing w:after="60" w:before="0" w:line="228" w:lineRule="auto"/>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pBdr>
                <w:bottom w:val="single" w:color="E9004B" w:sz="8" w:space="1"/>
              </w:pBdr>
              <w:spacing w:after="50" w:before="90"/>
            </w:pPr>
            <w:r>
              <w:rPr>
                <w:rFonts w:ascii="Arial" w:cs="Arial" w:eastAsia="Arial" w:hAnsi="Arial"/>
                <w:b/>
                <w:bCs/>
                <w:color w:val="14284B"/>
                <w:sz w:val="16"/>
                <w:szCs w:val="16"/>
              </w:rPr>
              <w:t xml:space="preserve">EL VALOR SE CONCENTRA EN 10 ACTIVOS TIER A</w:t>
            </w:r>
          </w:p>
          <w:p>
            <w:pPr>
              <w:spacing w:after="60" w:before="0" w:line="228" w:lineRule="auto"/>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spacing w:after="20" w:before="0" w:line="240" w:lineRule="auto"/>
            </w:pP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31051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pBdr>
          <w:bottom w:val="single" w:color="14284B" w:sz="18" w:space="2"/>
        </w:pBdr>
        <w:spacing w:after="80"/>
      </w:pPr>
      <w:r>
        <w:rPr>
          <w:rFonts w:ascii="Arial" w:cs="Arial" w:eastAsia="Arial" w:hAnsi="Arial"/>
          <w:b/>
          <w:bCs/>
          <w:color w:val="14284B"/>
          <w:sz w:val="30"/>
          <w:szCs w:val="30"/>
        </w:rPr>
        <w:t xml:space="preserve">ANÁLISIS DE LA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UNA INDUSTRIA CONCENTRADA EN CHILE Y FRAGMENTADA EN PERÚ Y COLOMBIA</w:t>
            </w:r>
          </w:p>
          <w:p>
            <w:pPr>
              <w:spacing w:after="60" w:before="0" w:line="228" w:lineRule="auto"/>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spacing w:after="60" w:before="0" w:line="228" w:lineRule="auto"/>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pBdr>
                <w:bottom w:val="single" w:color="E9004B" w:sz="8" w:space="1"/>
              </w:pBdr>
              <w:spacing w:after="50" w:before="90"/>
            </w:pPr>
            <w:r>
              <w:rPr>
                <w:rFonts w:ascii="Arial" w:cs="Arial" w:eastAsia="Arial" w:hAnsi="Arial"/>
                <w:b/>
                <w:bCs/>
                <w:color w:val="14284B"/>
                <w:sz w:val="16"/>
                <w:szCs w:val="16"/>
              </w:rPr>
              <w:t xml:space="preserve">LA OFERTA NUEVA EN CHILE CRECE AL RITMO DEL CONSUMO, CON PRESIÓN EN 2027-2028</w:t>
            </w:r>
          </w:p>
          <w:p>
            <w:pPr>
              <w:spacing w:after="60" w:before="0" w:line="228" w:lineRule="auto"/>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spacing w:after="60" w:before="0" w:line="228" w:lineRule="auto"/>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pBdr>
                <w:bottom w:val="single" w:color="E9004B" w:sz="8" w:space="1"/>
              </w:pBdr>
              <w:spacing w:after="50" w:before="90"/>
            </w:pPr>
            <w:r>
              <w:rPr>
                <w:rFonts w:ascii="Arial" w:cs="Arial" w:eastAsia="Arial" w:hAnsi="Arial"/>
                <w:b/>
                <w:bCs/>
                <w:color w:val="14284B"/>
                <w:sz w:val="16"/>
                <w:szCs w:val="16"/>
              </w:rPr>
              <w:t xml:space="preserve">UNA INDUSTRIA ATRACTIVA, CUYA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spacing w:after="20" w:before="0" w:line="240" w:lineRule="auto"/>
            </w:pP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27622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p>
            <w:pPr>
              <w:spacing w:after="30" w:before="9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spacing w:after="20" w:before="0" w:line="240" w:lineRule="auto"/>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4287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pBdr>
                <w:bottom w:val="single" w:color="E9004B" w:sz="8" w:space="1"/>
              </w:pBdr>
              <w:spacing w:after="50" w:before="90"/>
            </w:pPr>
            <w:r>
              <w:rPr>
                <w:rFonts w:ascii="Arial" w:cs="Arial" w:eastAsia="Arial" w:hAnsi="Arial"/>
                <w:b/>
                <w:bCs/>
                <w:color w:val="14284B"/>
                <w:sz w:val="16"/>
                <w:szCs w:val="16"/>
              </w:rPr>
              <w:t xml:space="preserve">MALLPLAZA CONVIERTE SU ESCALA EN EL M² MÁS PRODUCTIVO DEL TRÍO</w:t>
            </w:r>
          </w:p>
          <w:p>
            <w:pPr>
              <w:spacing w:after="60" w:before="0" w:line="228" w:lineRule="auto"/>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spacing w:after="60" w:before="0" w:line="228" w:lineRule="auto"/>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pBdr>
                <w:bottom w:val="single" w:color="E9004B" w:sz="8" w:space="1"/>
              </w:pBdr>
              <w:spacing w:after="50" w:before="90"/>
            </w:pPr>
            <w:r>
              <w:rPr>
                <w:rFonts w:ascii="Arial" w:cs="Arial" w:eastAsia="Arial" w:hAnsi="Arial"/>
                <w:b/>
                <w:bCs/>
                <w:color w:val="14284B"/>
                <w:sz w:val="16"/>
                <w:szCs w:val="16"/>
              </w:rPr>
              <w:t xml:space="preserve">CONTRATOS LARGOS PARA DEFENDER SU POSICIÓN</w:t>
            </w:r>
          </w:p>
          <w:p>
            <w:pPr>
              <w:spacing w:after="60" w:before="0" w:line="228" w:lineRule="auto"/>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spacing w:after="60" w:before="0" w:line="228" w:lineRule="auto"/>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spacing w:after="20" w:before="0" w:line="240" w:lineRule="auto"/>
            </w:pP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7049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p>
            <w:pPr>
              <w:spacing w:after="30" w:before="9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spacing w:after="20" w:before="0" w:line="240" w:lineRule="auto"/>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0572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p>
            <w:pPr>
              <w:spacing w:after="30" w:before="9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spacing w:after="20" w:before="0" w:line="240" w:lineRule="auto"/>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3335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sectPr>
          <w:headerReference w:type="default" r:id="rId9"/>
          <w:footerReference w:type="default" r:id="rId10"/>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ENVIROMENTAL,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7), pero esto se contra 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dónde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pBdr>
                <w:bottom w:val="single" w:color="E9004B" w:sz="8" w:space="1"/>
              </w:pBdr>
              <w:spacing w:after="50" w:before="90"/>
            </w:pPr>
            <w:r>
              <w:rPr>
                <w:rFonts w:ascii="Arial" w:cs="Arial" w:eastAsia="Arial" w:hAnsi="Arial"/>
                <w:b/>
                <w:bCs/>
                <w:color w:val="14284B"/>
                <w:sz w:val="16"/>
                <w:szCs w:val="16"/>
              </w:rPr>
              <w:t xml:space="preserve">ENVIROMENTAL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de directas e indirectas para 2035 (65.6% succes rate 2025). </w:t>
            </w:r>
            <w:r>
              <w:rPr>
                <w:rFonts w:ascii="Arial" w:cs="Arial" w:eastAsia="Arial" w:hAnsi="Arial"/>
                <w:b/>
                <w:bCs/>
                <w:i w:val="false"/>
                <w:iCs w:val="false"/>
                <w:color w:val="14284B"/>
                <w:sz w:val="16"/>
                <w:szCs w:val="16"/>
              </w:rPr>
              <w:t xml:space="preserve">Sustentability índices:</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Sustentability Yearbook ;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 rate 2025; figura 8). La meta propuesta de eficiencia eléctrica es que el 100% sea de energías renovables en 2026 (89.3% succes rate). En 2025 la proporción anual fue 0.16 MWh/m2 (Energía/GLA), siendo 0.14 renovable y 0.014 no renovable) (figura 9).</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EDGGE. En 2025 la proporción anual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 rate 2025), esto es vital para la gestión de emisiones GEI, dónde Bloomberg reconoce a PLAZA como Líder de la industria global. Waste: PLAZA propuso un 60% de valorización de residuos generados el 2025 (94.8% succes rate;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implemento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entre hombres y mujeres con Media de 28% a nivel regional. La meta al 2028 es que el 60% de los establecimientos estén certificados como espacios inclusivos, además PLAZA obtuvo “Sello Mayor”, distinción que certifica la adaptación física y operacional para las personas mayores.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spacing w:after="30" w:before="9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p>
            <w:pPr>
              <w:spacing w:after="30" w:before="9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spacing w:after="30" w:before="9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tc>
      </w:tr>
    </w:tbl>
    <w:p>
      <w:pPr>
        <w:sectPr>
          <w:headerReference w:type="default" r:id="rId11"/>
          <w:footerReference w:type="default" r:id="rId12"/>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ANÁLISIS FINANCIERO</w:t>
      </w:r>
    </w:p>
    <w:p>
      <w:pPr>
        <w:shd w:fill="EEF1F6" w:color="auto" w:val="clear"/>
        <w:spacing w:after="60" w:line="228" w:lineRule="auto"/>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La utilidad reportada sigue al tasador; el FFO sigue al negocio</w:t>
            </w:r>
          </w:p>
          <w:p>
            <w:pPr>
              <w:spacing w:after="60" w:before="0" w:line="228" w:lineRule="auto"/>
              <w:jc w:val="both"/>
            </w:pPr>
            <w:r>
              <w:rPr>
                <w:rFonts w:ascii="Arial" w:cs="Arial" w:eastAsia="Arial" w:hAnsi="Arial"/>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spacing w:after="60" w:before="0" w:line="228" w:lineRule="auto"/>
              <w:jc w:val="both"/>
            </w:pPr>
            <w:r>
              <w:rPr>
                <w:rFonts w:ascii="Arial" w:cs="Arial" w:eastAsia="Arial" w:hAnsi="Arial"/>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p>
            <w:pPr>
              <w:spacing w:after="60" w:before="0" w:line="228" w:lineRule="auto"/>
              <w:jc w:val="both"/>
            </w:pPr>
            <w:r>
              <w:rPr>
                <w:rFonts w:ascii="Arial" w:cs="Arial" w:eastAsia="Arial" w:hAnsi="Arial"/>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Dos tercios del crecimiento de 2025 fueron comprados; el orgánico real es cerca de 3%</w:t>
            </w:r>
          </w:p>
          <w:p>
            <w:pPr>
              <w:spacing w:after="60" w:before="0" w:line="228" w:lineRule="auto"/>
              <w:jc w:val="both"/>
            </w:pPr>
            <w:r>
              <w:rPr>
                <w:rFonts w:ascii="Arial" w:cs="Arial" w:eastAsia="Arial" w:hAnsi="Arial"/>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spacing w:after="60" w:before="0" w:line="228" w:lineRule="auto"/>
              <w:jc w:val="both"/>
            </w:pPr>
            <w:r>
              <w:rPr>
                <w:rFonts w:ascii="Arial" w:cs="Arial" w:eastAsia="Arial" w:hAnsi="Arial"/>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spacing w:after="60" w:before="0" w:line="228" w:lineRule="auto"/>
              <w:jc w:val="both"/>
            </w:pPr>
            <w:r>
              <w:rPr>
                <w:rFonts w:ascii="Arial" w:cs="Arial" w:eastAsia="Arial" w:hAnsi="Arial"/>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El margen subió por mix y recuperación de gastos; el apalancamiento operativo se agotó</w:t>
            </w:r>
          </w:p>
          <w:p>
            <w:pPr>
              <w:spacing w:after="60" w:before="0" w:line="228" w:lineRule="auto"/>
              <w:jc w:val="both"/>
            </w:pPr>
            <w:r>
              <w:rPr>
                <w:rFonts w:ascii="Arial" w:cs="Arial" w:eastAsia="Arial" w:hAnsi="Arial"/>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spacing w:after="60" w:before="0" w:line="228" w:lineRule="auto"/>
              <w:jc w:val="both"/>
            </w:pPr>
            <w:r>
              <w:rPr>
                <w:rFonts w:ascii="Arial" w:cs="Arial" w:eastAsia="Arial" w:hAnsi="Arial"/>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1,1 pp más.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Celeste suma, rojo resta, azul = totales. Tras minoritarios (CLP 2,8 mil MM), el FFO atribuible es CLP 405,2 mil MM vs 405,3 reportado. Fuente: EEFF Plaza S.A. (CMF) 2025, Notas 13.1 y 23; análisis del equipo.</w:t>
            </w:r>
          </w:p>
          <w:p>
            <w:pPr>
              <w:spacing w:after="30" w:before="9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p>
            <w:pPr>
              <w:spacing w:after="30" w:before="9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La caja cubre el dividendo 2,6x; el techo es la política, no la liquidez</w:t>
            </w:r>
          </w:p>
          <w:p>
            <w:pPr>
              <w:spacing w:after="60" w:before="0" w:line="228" w:lineRule="auto"/>
              <w:jc w:val="both"/>
            </w:pPr>
            <w:r>
              <w:rPr>
                <w:rFonts w:ascii="Arial" w:cs="Arial" w:eastAsia="Arial" w:hAnsi="Arial"/>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p>
            <w:pPr>
              <w:spacing w:after="60" w:before="0" w:line="228" w:lineRule="auto"/>
              <w:jc w:val="both"/>
            </w:pPr>
            <w:r>
              <w:rPr>
                <w:rFonts w:ascii="Arial" w:cs="Arial" w:eastAsia="Arial" w:hAnsi="Arial"/>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spacing w:after="60" w:before="0" w:line="228" w:lineRule="auto"/>
              <w:jc w:val="both"/>
            </w:pPr>
            <w:r>
              <w:rPr>
                <w:rFonts w:ascii="Arial" w:cs="Arial" w:eastAsia="Arial" w:hAnsi="Arial"/>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spacing w:after="60" w:before="0" w:line="228" w:lineRule="auto"/>
              <w:jc w:val="both"/>
            </w:pPr>
            <w:r>
              <w:rPr>
                <w:rFonts w:ascii="Arial" w:cs="Arial" w:eastAsia="Arial" w:hAnsi="Arial"/>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90" w:line="228" w:lineRule="auto"/>
            </w:pPr>
            <w:r>
              <w:rPr>
                <w:rFonts w:ascii="Arial" w:cs="Arial" w:eastAsia="Arial" w:hAnsi="Arial"/>
                <w:b/>
                <w:bCs/>
                <w:color w:val="14284B"/>
                <w:sz w:val="16"/>
                <w:szCs w:val="16"/>
              </w:rPr>
              <w:t xml:space="preserve">Los indicadores de flujo justifican el AAA; los ratios contables lo exageran</w:t>
            </w:r>
          </w:p>
          <w:p>
            <w:pPr>
              <w:spacing w:after="60" w:before="0" w:line="228" w:lineRule="auto"/>
              <w:jc w:val="both"/>
            </w:pPr>
            <w:r>
              <w:rPr>
                <w:rFonts w:ascii="Arial" w:cs="Arial" w:eastAsia="Arial" w:hAnsi="Arial"/>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spacing w:after="60" w:before="0" w:line="228" w:lineRule="auto"/>
              <w:jc w:val="both"/>
            </w:pPr>
            <w:r>
              <w:rPr>
                <w:rFonts w:ascii="Arial" w:cs="Arial" w:eastAsia="Arial" w:hAnsi="Arial"/>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spacing w:after="60" w:before="0" w:line="228" w:lineRule="auto"/>
              <w:jc w:val="both"/>
            </w:pPr>
            <w:r>
              <w:rPr>
                <w:rFonts w:ascii="Arial" w:cs="Arial" w:eastAsia="Arial" w:hAnsi="Arial"/>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spacing w:after="60" w:before="0" w:line="228" w:lineRule="auto"/>
              <w:jc w:val="both"/>
            </w:pPr>
            <w:r>
              <w:rPr>
                <w:rFonts w:ascii="Arial" w:cs="Arial" w:eastAsia="Arial" w:hAnsi="Arial"/>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El forecast proyecta lo que respalda la historia, incluido el ritmo de expansión</w:t>
            </w:r>
          </w:p>
          <w:p>
            <w:pPr>
              <w:spacing w:after="60" w:before="0" w:line="228" w:lineRule="auto"/>
              <w:jc w:val="both"/>
            </w:pPr>
            <w:r>
              <w:rPr>
                <w:rFonts w:ascii="Arial" w:cs="Arial" w:eastAsia="Arial" w:hAnsi="Arial"/>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pBdr>
                <w:bottom w:val="single" w:color="E9004B" w:sz="8" w:space="1"/>
              </w:pBdr>
              <w:spacing w:after="50" w:before="90" w:line="228" w:lineRule="auto"/>
            </w:pPr>
            <w:r>
              <w:rPr>
                <w:rFonts w:ascii="Arial" w:cs="Arial" w:eastAsia="Arial" w:hAnsi="Arial"/>
                <w:b/>
                <w:bCs/>
                <w:color w:val="14284B"/>
                <w:sz w:val="16"/>
                <w:szCs w:val="16"/>
              </w:rPr>
              <w:t xml:space="preserve">Lo que esto significa para la valoración</w:t>
            </w:r>
          </w:p>
          <w:p>
            <w:pPr>
              <w:spacing w:after="60" w:before="0" w:line="228" w:lineRule="auto"/>
              <w:jc w:val="both"/>
            </w:pPr>
            <w:r>
              <w:rPr>
                <w:rFonts w:ascii="Arial" w:cs="Arial" w:eastAsia="Arial" w:hAnsi="Arial"/>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spacing w:after="60" w:before="0" w:line="228" w:lineRule="auto"/>
              <w:jc w:val="both"/>
            </w:pPr>
            <w:r>
              <w:rPr>
                <w:rFonts w:ascii="Arial" w:cs="Arial" w:eastAsia="Arial" w:hAnsi="Arial"/>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p>
            <w:pPr>
              <w:spacing w:after="30" w:before="9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p>
            <w:pPr>
              <w:spacing w:after="30" w:before="9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incluye CLP 84,2 mil MM gastados en 1S26; el apalancamiento 2024A incluye un mes de EBITDA de Perú. Fuente: EEFF (CMF); release 2T26 (pipeline); caso base de valoración (Anexos 9 y 13).</w:t>
            </w:r>
          </w:p>
        </w:tc>
      </w:tr>
    </w:tbl>
    <w:p>
      <w:pPr>
        <w:sectPr>
          <w:headerReference w:type="default" r:id="rId13"/>
          <w:footerReference w:type="default" r:id="rId14"/>
          <w:type w:val="nextPage"/>
          <w:pgSz w:w="11906" w:h="16838" w:orient="portrait"/>
          <w:pgMar w:top="1000" w:right="620" w:bottom="900" w:left="620" w:header="450" w:footer="400" w:gutter="0"/>
          <w:pgNumType/>
          <w:docGrid w:linePitch="360"/>
        </w:sectPr>
      </w:pPr>
    </w:p>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spacing w:after="60" w:before="0" w:line="228" w:lineRule="auto"/>
              <w:jc w:val="both"/>
            </w:pPr>
            <w:r>
              <w:rPr>
                <w:rFonts w:ascii="Arial" w:cs="Arial" w:eastAsia="Arial" w:hAnsi="Arial"/>
                <w:color w:val="1A1A1A"/>
                <w:sz w:val="16"/>
                <w:szCs w:val="16"/>
              </w:rPr>
              <w:t xml:space="preserve">Llevamos la tesis a sus extremos. En un caso bear (WACC +100 pb y el margen mínimo histórico de 75,8%) el precio objetivo cae a CLP 1.712; en un caso bull que suma WACC −100 pb, g de 2,5%, el margen máximo de 81,3% y la rebaja del impuesto a 23%, sube a CLP 2.595, todavía 27% bajo el precio. El APV (CLP 1.894), una Rf basada en el bono en pesos (~CLP 2.439) y otros objetivos de deuda (DCF de CLP 1.819 a 1.894) llevan a la misma conclusión (Anexo 18).</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(+3,9%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p>
      <w:pPr>
        <w:sectPr>
          <w:headerReference w:type="default" r:id="rId15"/>
          <w:footerReference w:type="default" r:id="rId16"/>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sectPr>
          <w:headerReference w:type="default" r:id="rId17"/>
          <w:footerReference w:type="default" r:id="rId18"/>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pBdr>
                <w:bottom w:val="single" w:color="E9004B" w:sz="8" w:space="1"/>
              </w:pBdr>
              <w:spacing w:after="50" w:before="20"/>
            </w:pPr>
            <w:r>
              <w:rPr>
                <w:rFonts w:ascii="Arial" w:cs="Arial" w:eastAsia="Arial" w:hAnsi="Arial"/>
                <w:b/>
                <w:bCs/>
                <w:color w:val="14284B"/>
                <w:sz w:val="16"/>
                <w:szCs w:val="16"/>
              </w:rPr>
              <w:t xml:space="preserve">PENDIENTE DE REDACCIÓN</w:t>
            </w:r>
          </w:p>
          <w:p>
            <w:pPr>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tc>
        <w:tc>
          <w:tcPr>
            <w:tcW w:type="dxa" w:w="3550"/>
            <w:tcBorders>
              <w:top w:val="none" w:color="FFFFFF" w:sz="0"/>
              <w:left w:val="none" w:color="FFFFFF" w:sz="0"/>
              <w:bottom w:val="none" w:color="FFFFFF" w:sz="0"/>
              <w:right w:val="none" w:color="FFFFFF" w:sz="0"/>
            </w:tcBorders>
            <w:vAlign w:val="top"/>
          </w:tcPr>
          <w:p>
            <w:pPr>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VENDER</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2.076</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3.555</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−41,6%</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1.857 / 2.951</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80% / 20%</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MALLPLAZ CI</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7.785</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2.470 – 4.700</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69 (2,0%)</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2,36x</w:t>
                  </w:r>
                </w:p>
              </w:tc>
            </w:tr>
          </w:tbl>
          <w:p>
            <w:pPr>
              <w:spacing w:before="30"/>
            </w:pPr>
            <w:r>
              <w:rPr>
                <w:rFonts w:ascii="Arial" w:cs="Arial" w:eastAsia="Arial" w:hAnsi="Arial"/>
                <w:color w:val="5F5F5F"/>
                <w:sz w:val="11"/>
                <w:szCs w:val="11"/>
              </w:rPr>
              <w:t xml:space="preserve">Fuente: modelo de valoración v2; Bloomberg (rango 52 semanas); análisis del equipo.</w:t>
            </w:r>
          </w:p>
        </w:tc>
      </w:tr>
    </w:tbl>
    <w:p>
      <w:pPr>
        <w:sectPr>
          <w:headerReference w:type="default" r:id="rId19"/>
          <w:footerReference w:type="default" r:id="rId20"/>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sectPr>
          <w:headerReference w:type="default" r:id="rId21"/>
          <w:footerReference w:type="default" r:id="rId22"/>
          <w:type w:val="nextPage"/>
          <w:pgSz w:w="11906" w:h="16838" w:orient="portrait"/>
          <w:pgMar w:top="1000" w:right="620" w:bottom="900" w:left="620" w:header="450" w:footer="400" w:gutter="0"/>
          <w:pgNumType w:start="1"/>
          <w:docGrid w:linePitch="360"/>
        </w:sectPr>
      </w:pPr>
    </w:p>
    <w:p>
      <w:pPr>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257425" cy="15144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spacing w:after="30" w:before="90" w:line="228"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p>
          <w:p>
            <w:pPr>
              <w:spacing w:after="20" w:before="0" w:line="240" w:lineRule="auto"/>
            </w:pP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257425" cy="17430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57425" cy="15144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Evidencia principal</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sectPr>
          <w:headerReference w:type="default" r:id="rId23"/>
          <w:footerReference w:type="default" r:id="rId24"/>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77227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Fuente: Memoria Mallplaza 2025.</w:t>
      </w:r>
    </w:p>
    <w:p>
      <w:pPr>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w:t>
      </w:r>
    </w:p>
    <w:p>
      <w:pPr>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Liderazgo</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Participación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sectPr>
          <w:headerReference w:type="default" r:id="rId25"/>
          <w:footerReference w:type="default" r:id="rId26"/>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Tag</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bl>
          <w:p>
            <w:pPr>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UDM 2T26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677,3</w:t>
                  </w:r>
                </w:p>
              </w:tc>
            </w:tr>
            <w:tr>
              <w:trPr>
                <w:cantSplit/>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1.190,4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1.730,6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(50,4)</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1.258,1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347,6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7.309,8</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7.985,7</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1.633,4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1.313,7</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1S26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258,2</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(84,2)</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(87,6)</w:t>
                  </w:r>
                </w:p>
              </w:tc>
            </w:tr>
          </w:tbl>
          <w:p>
            <w:pPr>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2,50</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21,2%</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bl>
          <w:p>
            <w:pPr>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UDM 2T26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1.735,4</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(1.194,5)</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r>
          </w:tbl>
          <w:p>
            <w:pPr>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2031E</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652,8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184,9</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w:t>
                  </w:r>
                </w:p>
              </w:tc>
            </w:tr>
            <w:tr>
              <w:trPr>
                <w:cantSplit/>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961,3</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r>
              <w:trPr>
                <w:cantSplit/>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766,9</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760,1</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(51,7)</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(104,2)</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r>
            <w:tr>
              <w:trPr>
                <w:cantSplit/>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501,6</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444,6</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(172,6)</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(404,8)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r>
          </w:tbl>
          <w:p>
            <w:pPr>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Cencosud Shopping</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7,8%</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10,5%</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8,0%</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w:t>
                  </w:r>
                </w:p>
              </w:tc>
            </w:tr>
          </w:tbl>
          <w:p>
            <w:pPr>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sectPr>
          <w:headerReference w:type="default" r:id="rId27"/>
          <w:footerReference w:type="default" r:id="rId28"/>
          <w:type w:val="nextPage"/>
          <w:pgSz w:w="11906" w:h="16838" w:orient="portrait"/>
          <w:pgMar w:top="1000" w:right="620" w:bottom="900" w:left="620" w:header="450" w:footer="400" w:gutter="0"/>
          <w:pgNumType/>
          <w:docGrid w:linePitch="360"/>
        </w:sectPr>
      </w:pPr>
    </w:p>
    <w:p>
      <w:pPr>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1.379</w:t>
                  </w:r>
                </w:p>
              </w:tc>
            </w:tr>
          </w:tbl>
          <w:p/>
        </w:tc>
      </w:tr>
    </w:tbl>
    <w:p>
      <w:pPr>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pageBreakBefore/>
        <w:pBdr>
          <w:bottom w:val="single" w:color="14284B" w:sz="18" w:space="2"/>
        </w:pBdr>
        <w:spacing w:after="80" w:before="0"/>
      </w:pPr>
      <w:r>
        <w:rPr>
          <w:rFonts w:ascii="Arial" w:cs="Arial" w:eastAsia="Arial" w:hAnsi="Arial"/>
          <w:b/>
          <w:bCs/>
          <w:color w:val="14284B"/>
          <w:sz w:val="30"/>
          <w:szCs w:val="30"/>
        </w:rPr>
        <w:t xml:space="preserve">ANEXO 17: MÚLTIPLOS COMPARABLES</w:t>
      </w:r>
    </w:p>
    <w:p>
      <w:pPr>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pBdr>
          <w:bottom w:val="single" w:color="14284B" w:sz="18" w:space="2"/>
        </w:pBdr>
        <w:spacing w:after="80" w:before="260"/>
      </w:pPr>
      <w:r>
        <w:rPr>
          <w:rFonts w:ascii="Arial" w:cs="Arial" w:eastAsia="Arial" w:hAnsi="Arial"/>
          <w:b/>
          <w:bCs/>
          <w:color w:val="14284B"/>
          <w:sz w:val="30"/>
          <w:szCs w:val="30"/>
        </w:rPr>
        <w:t xml:space="preserve">ANEXO 18: ESCENARIOS Y ROBUSTEZ</w:t>
      </w:r>
    </w:p>
    <w:p>
      <w:pPr>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1.847</w:t>
                  </w:r>
                </w:p>
              </w:tc>
            </w:tr>
          </w:tbl>
          <w:p/>
        </w:tc>
      </w:tr>
    </w:tbl>
    <w:p>
      <w:pPr>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pageBreakBefor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sectPr>
          <w:headerReference w:type="default" r:id="rId29"/>
          <w:footerReference w:type="default" r:id="rId30"/>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31"/>
      <w:footerReference w:type="default" r:id="rId32"/>
      <w:type w:val="nextPage"/>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64ba9315e797149d5131110a457c52ed8e3f19d3.png"/><Relationship Id="rId34" Type="http://schemas.openxmlformats.org/officeDocument/2006/relationships/image" Target="media/34532f7c30c17d6314684a916c3bfde3999b7416.png"/><Relationship Id="rId35" Type="http://schemas.openxmlformats.org/officeDocument/2006/relationships/image" Target="media/7740e404b19cbf777a033b14c42409a022747a72.png"/><Relationship Id="rId36" Type="http://schemas.openxmlformats.org/officeDocument/2006/relationships/image" Target="media/f15c089be8e0d753539f6f9eeefa3fe9c0bc4f68.png"/><Relationship Id="rId37" Type="http://schemas.openxmlformats.org/officeDocument/2006/relationships/image" Target="media/b21d50f01ceb50050bb1fcd3d7e05774045c60c5.png"/><Relationship Id="rId38" Type="http://schemas.openxmlformats.org/officeDocument/2006/relationships/image" Target="media/0cebf95ed6b1035d4fc1453eaa063682bfc6d832.png"/><Relationship Id="rId39" Type="http://schemas.openxmlformats.org/officeDocument/2006/relationships/image" Target="media/ed411ba3c606390f872c40f1b4caf70649f76480.png"/><Relationship Id="rId40" Type="http://schemas.openxmlformats.org/officeDocument/2006/relationships/image" Target="media/bb229cbba7c93bbcdce30a13122f93af2ad5370c.png"/><Relationship Id="rId41" Type="http://schemas.openxmlformats.org/officeDocument/2006/relationships/image" Target="media/8fe419fd582c8d631f848117014dd8fdfe47e661.png"/><Relationship Id="rId42" Type="http://schemas.openxmlformats.org/officeDocument/2006/relationships/image" Target="media/4bc2b50fc361b46958993af72b6fed0f46eec7a4.png"/><Relationship Id="rId43" Type="http://schemas.openxmlformats.org/officeDocument/2006/relationships/image" Target="media/b0111e7433e81502552964a66525843934b6bbcb.png"/><Relationship Id="rId44" Type="http://schemas.openxmlformats.org/officeDocument/2006/relationships/image" Target="media/3ffdba50826c0f47161d8972132ca5b20b0dbd4e.png"/><Relationship Id="rId45" Type="http://schemas.openxmlformats.org/officeDocument/2006/relationships/image" Target="media/7d8204fda84a881810f270fea79de3fb869b95ea.png"/><Relationship Id="rId46" Type="http://schemas.openxmlformats.org/officeDocument/2006/relationships/image" Target="media/1c1b905e7784077b546c946da99ba143a175872b.png"/><Relationship Id="rId47" Type="http://schemas.openxmlformats.org/officeDocument/2006/relationships/image" Target="media/78fd8a3b95d09da84d6f02bcf7058100a332498a.png"/><Relationship Id="rId48" Type="http://schemas.openxmlformats.org/officeDocument/2006/relationships/image" Target="media/1d9a00e71859a315af64a6732f0ba93bf8e1e282.png"/><Relationship Id="rId49" Type="http://schemas.openxmlformats.org/officeDocument/2006/relationships/image" Target="media/c56e3105f1791428290fa44aea05f2c406719a25.png"/><Relationship Id="rId50" Type="http://schemas.openxmlformats.org/officeDocument/2006/relationships/image" Target="media/b6ad38b50f96473e1c95db300a0891d50e013037.png"/><Relationship Id="rId51" Type="http://schemas.openxmlformats.org/officeDocument/2006/relationships/image" Target="media/04fb2f47d0c2a10e8504a929c26d8d31ae4b5144.png"/><Relationship Id="rId52" Type="http://schemas.openxmlformats.org/officeDocument/2006/relationships/image" Target="media/c7060131278eba50ab0a6b4e4b2960b3ce4706aa.png"/><Relationship Id="rId53" Type="http://schemas.openxmlformats.org/officeDocument/2006/relationships/image" Target="media/03d5d8833b5c2cb5bd07e46a37d802973eaa624a.png"/><Relationship Id="rId54" Type="http://schemas.openxmlformats.org/officeDocument/2006/relationships/image" Target="media/e2ccf62f48e92e82e3d897a5379bf2c580267fad.png"/><Relationship Id="rId55" Type="http://schemas.openxmlformats.org/officeDocument/2006/relationships/image" Target="media/0897f311e5cbffecbbe06a7ec01f09ab8e5e0710.png"/><Relationship Id="rId56" Type="http://schemas.openxmlformats.org/officeDocument/2006/relationships/image" Target="media/6126286bee20cf8b01464e351d7a26ba2dd68ffb.png"/><Relationship Id="rId57" Type="http://schemas.openxmlformats.org/officeDocument/2006/relationships/image" Target="media/3964fb994282e9090b06f98a92091ef0c025b273.png"/><Relationship Id="rId58" Type="http://schemas.openxmlformats.org/officeDocument/2006/relationships/image" Target="media/c186a4abce57fb872cd303c60ab1117ebc25455f.png"/><Relationship Id="rId59" Type="http://schemas.openxmlformats.org/officeDocument/2006/relationships/image" Target="media/806bcde468984aadc88cffb24a22441c8f646a4a.png"/><Relationship Id="rId60" Type="http://schemas.openxmlformats.org/officeDocument/2006/relationships/image" Target="media/bf577d13a0a682b653e02a9c3ca9b3cb35eae0f3.png"/><Relationship Id="rId61" Type="http://schemas.openxmlformats.org/officeDocument/2006/relationships/image" Target="media/6e4680ecbf0aa76ff00a7a0ea476ccf717a865f6.png"/><Relationship Id="rId62" Type="http://schemas.openxmlformats.org/officeDocument/2006/relationships/image" Target="media/4609d9854ebb5b18f53a96249b39f91c7e2c04ad.png"/><Relationship Id="rId63" Type="http://schemas.openxmlformats.org/officeDocument/2006/relationships/image" Target="media/3b142e586c3e5210e292c0bd5ee719159683478e.png"/><Relationship Id="rId64" Type="http://schemas.openxmlformats.org/officeDocument/2006/relationships/image" Target="media/438682b6a2423995622f6a04ae6a9ebde6b1b73c.png"/><Relationship Id="rId65" Type="http://schemas.openxmlformats.org/officeDocument/2006/relationships/image" Target="media/ff2104c08e4ce6fa65fd948e42737135974bf6c7.png"/><Relationship Id="rId66" Type="http://schemas.openxmlformats.org/officeDocument/2006/relationships/image" Target="media/68d45e370e4ab8a3c4bafdcf440cb34d293a9255.png"/><Relationship Id="rId67" Type="http://schemas.openxmlformats.org/officeDocument/2006/relationships/image" Target="media/3fe8812a3136aa29736494e44ab849dc7868369a.png"/><Relationship Id="rId68" Type="http://schemas.openxmlformats.org/officeDocument/2006/relationships/image" Target="media/a1d8382ea339674a86ad98c542df97d034942bd7.png"/><Relationship Id="rId69" Type="http://schemas.openxmlformats.org/officeDocument/2006/relationships/image" Target="media/dbaedb451f19eb2ab39541b003ff01e6177ade9c.png"/><Relationship Id="rId70" Type="http://schemas.openxmlformats.org/officeDocument/2006/relationships/image" Target="media/b6d2ae5f89549048d7c9582bcdc25f29ceb9fdcd.png"/><Relationship Id="rId71" Type="http://schemas.openxmlformats.org/officeDocument/2006/relationships/image" Target="media/b37f9670dd9b87d723848d2dd6de478ef16272e2.png"/><Relationship Id="rId72" Type="http://schemas.openxmlformats.org/officeDocument/2006/relationships/image" Target="media/a8802a15131acf6d8cfb6d2b23415df3be75356e.png"/><Relationship Id="rId73" Type="http://schemas.openxmlformats.org/officeDocument/2006/relationships/image" Target="media/339b3b3fea9fdc23356260d546ff3bd5cd9a17b1.png"/><Relationship Id="rId74" Type="http://schemas.openxmlformats.org/officeDocument/2006/relationships/image" Target="media/53969dddf59bc1c8f16c396151f494cd3593db61.png"/><Relationship Id="rId75" Type="http://schemas.openxmlformats.org/officeDocument/2006/relationships/image" Target="media/30cd18c8e68475a6e62bd49f65e7c79a20aa9d06.png"/><Relationship Id="rId76" Type="http://schemas.openxmlformats.org/officeDocument/2006/relationships/image" Target="media/71234321f10eba3adcbbd976d76091adc5da5213.png"/><Relationship Id="rId77" Type="http://schemas.openxmlformats.org/officeDocument/2006/relationships/image" Target="media/ee3ce46107e934bd3d11829fefbef3a94a67d56d.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2026-10-14T18:10:45.953Z</dcterms:created>
  <dcterms:modified xsi:type="dcterms:W3CDTF">2026-10-14T18:10:45.953Z</dcterms:modified>
</cp:coreProperties>
</file>

<file path=docProps/custom.xml><?xml version="1.0" encoding="utf-8"?>
<Properties xmlns="http://schemas.openxmlformats.org/officeDocument/2006/custom-properties" xmlns:vt="http://schemas.openxmlformats.org/officeDocument/2006/docPropsVTypes"/>
</file>