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4284B" w:sz="18" w:space="2"/>
        </w:pBdr>
        <w:spacing w:after="8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APPENDIX [Y]: CORPORATE GOVERNANCE AND SUSTAINABILITY</w:t>
      </w:r>
    </w:p>
    <w:p>
      <w:pPr>
        <w:shd w:fill="EEF1F6" w:color="auto" w:val="clear"/>
        <w:spacing w:after="80" w:line="228" w:lineRule="auto"/>
        <w:jc w:val="both"/>
      </w:pPr>
      <w:r>
        <w:rPr>
          <w:rFonts w:ascii="Arial" w:cs="Arial" w:eastAsia="Arial" w:hAnsi="Arial"/>
          <w:color w:val="1A1A1A"/>
          <w:sz w:val="16"/>
          <w:szCs w:val="16"/>
        </w:rPr>
        <w:t xml:space="preserve">Supporting information for the ESG section: ownership structure, Board of Directors, compliance, stakeholder engagement model, organisational culture and waste. Main source: Mallplaza Annual Report 2025.</w:t>
      </w:r>
    </w:p>
    <w:p>
      <w:pPr>
        <w:pBdr>
          <w:bottom w:val="single" w:color="E9004B" w:sz="8" w:space="1"/>
        </w:pBdr>
        <w:spacing w:after="50" w:before="60"/>
      </w:pPr>
      <w:r>
        <w:rPr>
          <w:rFonts w:ascii="Arial" w:cs="Arial" w:eastAsia="Arial" w:hAnsi="Arial"/>
          <w:b/>
          <w:bCs/>
          <w:color w:val="14284B"/>
          <w:sz w:val="16"/>
          <w:szCs w:val="16"/>
        </w:rPr>
        <w:t xml:space="preserve">1. OWNERSHIP STRUCTURE (31-DEC-2025)</w:t>
      </w:r>
    </w:p>
    <w:p>
      <w:pPr>
        <w:spacing w:after="30" w:before="20" w:line="228" w:lineRule="auto"/>
      </w:pPr>
      <w:r>
        <w:rPr>
          <w:rFonts w:ascii="Arial" w:cs="Arial" w:eastAsia="Arial" w:hAnsi="Arial"/>
          <w:b/>
          <w:bCs/>
          <w:color w:val="14284B"/>
          <w:sz w:val="14"/>
          <w:szCs w:val="14"/>
        </w:rPr>
        <w:t xml:space="preserve">Figure S1: </w:t>
      </w:r>
      <w:r>
        <w:rPr>
          <w:rFonts w:ascii="Arial" w:cs="Arial" w:eastAsia="Arial" w:hAnsi="Arial"/>
          <w:color w:val="14284B"/>
          <w:sz w:val="14"/>
          <w:szCs w:val="14"/>
        </w:rPr>
        <w:t xml:space="preserve">Shareholding by type of shareholder</w:t>
      </w:r>
    </w:p>
    <w:p>
      <w:pPr>
        <w:spacing w:after="20" w:before="0" w:line="240" w:lineRule="auto"/>
      </w:pPr>
      <w:r>
        <w:drawing>
          <wp:inline distT="0" distB="0" distL="0" distR="0">
            <wp:extent cx="6772275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22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0" w:line="216" w:lineRule="auto"/>
      </w:pPr>
      <w:r>
        <w:rPr>
          <w:rFonts w:ascii="Arial" w:cs="Arial" w:eastAsia="Arial" w:hAnsi="Arial"/>
          <w:color w:val="5F5F5F"/>
          <w:sz w:val="11"/>
          <w:szCs w:val="11"/>
        </w:rPr>
        <w:t xml:space="preserve">Source: Mallplaza Annual Report 2025 (NCG 461 2.3.3). No ADRs or certificates issued abroad.</w:t>
      </w:r>
    </w:p>
    <w:p>
      <w:pPr>
        <w:spacing w:before="80"/>
      </w:pP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66"/>
        <w:gridCol w:w="2200"/>
        <w:gridCol w:w="2200"/>
      </w:tblGrid>
      <w:tr>
        <w:trPr>
          <w:tblHeader/>
        </w:trPr>
        <w:tc>
          <w:tcPr>
            <w:tcW w:type="dxa" w:w="6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Ten largest shareholders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Shares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% of shares</w:t>
            </w:r>
          </w:p>
        </w:tc>
      </w:tr>
      <w:tr>
        <w:tc>
          <w:tcPr>
            <w:tcW w:type="dxa" w:w="6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Desarrollos Inmobiliarios SpA (Falabella)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1,161,849,244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53.10%</w:t>
            </w:r>
          </w:p>
        </w:tc>
      </w:tr>
      <w:tr>
        <w:tc>
          <w:tcPr>
            <w:tcW w:type="dxa" w:w="6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Inversiones Avenida Borgoño Limitada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197,439,955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9.02%</w:t>
            </w:r>
          </w:p>
        </w:tc>
      </w:tr>
      <w:tr>
        <w:tc>
          <w:tcPr>
            <w:tcW w:type="dxa" w:w="6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Banchile Corredores de Bolsa S.A.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59,447,149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2.71%</w:t>
            </w:r>
          </w:p>
        </w:tc>
      </w:tr>
      <w:tr>
        <w:tc>
          <w:tcPr>
            <w:tcW w:type="dxa" w:w="6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BCI Corredor de Bolsa S.A.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53,553,765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2.45%</w:t>
            </w:r>
          </w:p>
        </w:tc>
      </w:tr>
      <w:tr>
        <w:tc>
          <w:tcPr>
            <w:tcW w:type="dxa" w:w="6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AFP Habitat S.A. Pension Fund C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50,733,976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2.32%</w:t>
            </w:r>
          </w:p>
        </w:tc>
      </w:tr>
      <w:tr>
        <w:tc>
          <w:tcPr>
            <w:tcW w:type="dxa" w:w="6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Santiago Stock Exchange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41,532,310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1.90%</w:t>
            </w:r>
          </w:p>
        </w:tc>
      </w:tr>
      <w:tr>
        <w:tc>
          <w:tcPr>
            <w:tcW w:type="dxa" w:w="6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AFP Provida S.A. Pension Fund C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37,746,440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1.72%</w:t>
            </w:r>
          </w:p>
        </w:tc>
      </w:tr>
      <w:tr>
        <w:tc>
          <w:tcPr>
            <w:tcW w:type="dxa" w:w="6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Banco Santander on behalf of foreign investors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35,594,345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1.63%</w:t>
            </w:r>
          </w:p>
        </w:tc>
      </w:tr>
      <w:tr>
        <w:tc>
          <w:tcPr>
            <w:tcW w:type="dxa" w:w="6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AFP Capital S.A. Pension Fund C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34,539,038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1.58%</w:t>
            </w:r>
          </w:p>
        </w:tc>
      </w:tr>
      <w:tr>
        <w:tc>
          <w:tcPr>
            <w:tcW w:type="dxa" w:w="6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AFP Habitat S.A. Pension Fund B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30,039,097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1.37%</w:t>
            </w:r>
          </w:p>
        </w:tc>
      </w:tr>
    </w:tbl>
    <w:p>
      <w:pPr>
        <w:pBdr>
          <w:bottom w:val="single" w:color="E9004B" w:sz="8" w:space="1"/>
        </w:pBdr>
        <w:spacing w:after="50" w:before="160"/>
      </w:pPr>
      <w:r>
        <w:rPr>
          <w:rFonts w:ascii="Arial" w:cs="Arial" w:eastAsia="Arial" w:hAnsi="Arial"/>
          <w:b/>
          <w:bCs/>
          <w:color w:val="14284B"/>
          <w:sz w:val="16"/>
          <w:szCs w:val="16"/>
        </w:rPr>
        <w:t xml:space="preserve">2. BOARD OF DIRECTORS (ELECTED 22-APR-2025)</w:t>
      </w:r>
    </w:p>
    <w:p>
      <w:pPr>
        <w:spacing w:after="30" w:before="20" w:line="228" w:lineRule="auto"/>
      </w:pPr>
      <w:r>
        <w:rPr>
          <w:rFonts w:ascii="Arial" w:cs="Arial" w:eastAsia="Arial" w:hAnsi="Arial"/>
          <w:b/>
          <w:bCs/>
          <w:color w:val="14284B"/>
          <w:sz w:val="14"/>
          <w:szCs w:val="14"/>
        </w:rPr>
        <w:t xml:space="preserve">Figure S2: </w:t>
      </w:r>
      <w:r>
        <w:rPr>
          <w:rFonts w:ascii="Arial" w:cs="Arial" w:eastAsia="Arial" w:hAnsi="Arial"/>
          <w:color w:val="14284B"/>
          <w:sz w:val="14"/>
          <w:szCs w:val="14"/>
        </w:rPr>
        <w:t xml:space="preserve">Board members (red: independent director; blue: chairman)</w:t>
      </w:r>
    </w:p>
    <w:p>
      <w:pPr>
        <w:spacing w:after="20" w:before="0" w:line="240" w:lineRule="auto"/>
      </w:pPr>
      <w:r>
        <w:drawing>
          <wp:inline distT="0" distB="0" distL="0" distR="0">
            <wp:extent cx="6772275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22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0" w:line="216" w:lineRule="auto"/>
      </w:pPr>
      <w:r>
        <w:rPr>
          <w:rFonts w:ascii="Arial" w:cs="Arial" w:eastAsia="Arial" w:hAnsi="Arial"/>
          <w:color w:val="5F5F5F"/>
          <w:sz w:val="11"/>
          <w:szCs w:val="11"/>
        </w:rPr>
        <w:t xml:space="preserve">9 full members, no alternates; one independent director. Each director holds at most four positions in other listed companies. Tomás Müller, Manuela Sánchez and Juan Pablo Montero were directors until 22-Apr-2025. Source: Mallplaza Annual Report 2025.</w:t>
      </w:r>
    </w:p>
    <w:p>
      <w:pPr>
        <w:pBdr>
          <w:bottom w:val="single" w:color="E9004B" w:sz="8" w:space="1"/>
        </w:pBdr>
        <w:spacing w:after="50" w:before="160"/>
      </w:pPr>
      <w:r>
        <w:rPr>
          <w:rFonts w:ascii="Arial" w:cs="Arial" w:eastAsia="Arial" w:hAnsi="Arial"/>
          <w:b/>
          <w:bCs/>
          <w:color w:val="14284B"/>
          <w:sz w:val="16"/>
          <w:szCs w:val="16"/>
        </w:rPr>
        <w:t xml:space="preserve">3. ETHICS AND COMPLIANCE, 2025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666"/>
        <w:gridCol w:w="2000"/>
      </w:tblGrid>
      <w:tr>
        <w:trPr>
          <w:tblHeader/>
        </w:trPr>
        <w:tc>
          <w:tcPr>
            <w:tcW w:type="dxa" w:w="8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Matter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Cases</w:t>
            </w:r>
          </w:p>
        </w:tc>
      </w:tr>
      <w:tr>
        <w:tc>
          <w:tcPr>
            <w:tcW w:type="dxa" w:w="86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Corruption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0</w:t>
            </w:r>
          </w:p>
        </w:tc>
      </w:tr>
      <w:tr>
        <w:tc>
          <w:tcPr>
            <w:tcW w:type="dxa" w:w="86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Breaches of customer rights (Consumer Protection Law 19,496)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27</w:t>
            </w:r>
          </w:p>
        </w:tc>
      </w:tr>
      <w:tr>
        <w:tc>
          <w:tcPr>
            <w:tcW w:type="dxa" w:w="86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Breaches of employee rights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2</w:t>
            </w:r>
          </w:p>
        </w:tc>
      </w:tr>
      <w:tr>
        <w:tc>
          <w:tcPr>
            <w:tcW w:type="dxa" w:w="86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Proceedings by the Environment Superintendency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</w:t>
            </w:r>
          </w:p>
        </w:tc>
      </w:tr>
      <w:tr>
        <w:tc>
          <w:tcPr>
            <w:tcW w:type="dxa" w:w="86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Complaints of workplace, sexual harassment and violence at work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8</w:t>
            </w:r>
          </w:p>
        </w:tc>
      </w:tr>
    </w:tbl>
    <w:p>
      <w:pPr>
        <w:spacing w:after="0" w:before="10" w:line="216" w:lineRule="auto"/>
      </w:pPr>
      <w:r>
        <w:rPr>
          <w:rFonts w:ascii="Arial" w:cs="Arial" w:eastAsia="Arial" w:hAnsi="Arial"/>
          <w:color w:val="5F5F5F"/>
          <w:sz w:val="11"/>
          <w:szCs w:val="11"/>
        </w:rPr>
        <w:t xml:space="preserve">Source: Mallplaza Annual Report 2025.</w:t>
      </w:r>
    </w:p>
    <w:p>
      <w:pPr>
        <w:pBdr>
          <w:bottom w:val="single" w:color="E9004B" w:sz="8" w:space="1"/>
        </w:pBdr>
        <w:spacing w:after="50" w:before="160"/>
      </w:pPr>
      <w:r>
        <w:rPr>
          <w:rFonts w:ascii="Arial" w:cs="Arial" w:eastAsia="Arial" w:hAnsi="Arial"/>
          <w:b/>
          <w:bCs/>
          <w:color w:val="14284B"/>
          <w:sz w:val="16"/>
          <w:szCs w:val="16"/>
        </w:rPr>
        <w:t xml:space="preserve">4. STAKEHOLDER ENGAGEMENT MODEL</w:t>
      </w:r>
    </w:p>
    <w:p>
      <w:pPr>
        <w:spacing w:after="30" w:before="20" w:line="228" w:lineRule="auto"/>
      </w:pPr>
      <w:r>
        <w:rPr>
          <w:rFonts w:ascii="Arial" w:cs="Arial" w:eastAsia="Arial" w:hAnsi="Arial"/>
          <w:b/>
          <w:bCs/>
          <w:color w:val="14284B"/>
          <w:sz w:val="14"/>
          <w:szCs w:val="14"/>
        </w:rPr>
        <w:t xml:space="preserve">Figure S3: </w:t>
      </w:r>
      <w:r>
        <w:rPr>
          <w:rFonts w:ascii="Arial" w:cs="Arial" w:eastAsia="Arial" w:hAnsi="Arial"/>
          <w:color w:val="14284B"/>
          <w:sz w:val="14"/>
          <w:szCs w:val="14"/>
        </w:rPr>
        <w:t xml:space="preserve">Implementation process of the engagement model</w:t>
      </w:r>
    </w:p>
    <w:p>
      <w:pPr>
        <w:spacing w:after="20" w:before="0" w:line="240" w:lineRule="auto"/>
      </w:pPr>
      <w:r>
        <w:drawing>
          <wp:inline distT="0" distB="0" distL="0" distR="0">
            <wp:extent cx="6772275" cy="104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22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0" w:line="216" w:lineRule="auto"/>
      </w:pPr>
      <w:r>
        <w:rPr>
          <w:rFonts w:ascii="Arial" w:cs="Arial" w:eastAsia="Arial" w:hAnsi="Arial"/>
          <w:color w:val="5F5F5F"/>
          <w:sz w:val="11"/>
          <w:szCs w:val="11"/>
        </w:rPr>
        <w:t xml:space="preserve">Source: Mallplaza Annual Report 2025.</w:t>
      </w:r>
    </w:p>
    <w:p>
      <w:pPr>
        <w:pBdr>
          <w:bottom w:val="single" w:color="E9004B" w:sz="8" w:space="1"/>
        </w:pBdr>
        <w:spacing w:after="50" w:before="160"/>
      </w:pPr>
      <w:r>
        <w:rPr>
          <w:rFonts w:ascii="Arial" w:cs="Arial" w:eastAsia="Arial" w:hAnsi="Arial"/>
          <w:b/>
          <w:bCs/>
          <w:color w:val="14284B"/>
          <w:sz w:val="16"/>
          <w:szCs w:val="16"/>
        </w:rPr>
        <w:t xml:space="preserve">5. ORGANISATIONAL CULTURE: 2025 CULTURE SURVEY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76"/>
        <w:gridCol w:w="120"/>
        <w:gridCol w:w="2576"/>
        <w:gridCol w:w="120"/>
        <w:gridCol w:w="2576"/>
        <w:gridCol w:w="120"/>
        <w:gridCol w:w="2578"/>
      </w:tblGrid>
      <w:tr>
        <w:tc>
          <w:tcPr>
            <w:tcW w:type="dxa" w:w="2576"/>
            <w:tcBorders>
              <w:top w:val="single" w:color="E9004B" w:sz="18"/>
              <w:left w:val="none" w:color="FFFFFF" w:sz="0"/>
              <w:bottom w:val="none" w:color="FFFFFF" w:sz="0"/>
              <w:right w:val="none" w:color="FFFFFF" w:sz="0"/>
            </w:tcBorders>
            <w:shd w:fill="EEF1F6" w:color="auto" w:val="clear"/>
            <w:tcMar>
              <w:top w:type="dxa" w:w="70"/>
              <w:left w:type="dxa" w:w="120"/>
              <w:bottom w:type="dxa" w:w="70"/>
              <w:right w:type="dxa" w:w="9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E9004B"/>
                <w:sz w:val="30"/>
                <w:szCs w:val="30"/>
              </w:rPr>
              <w:t xml:space="preserve">75%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Engagement</w:t>
            </w:r>
          </w:p>
          <w:p>
            <w:r>
              <w:rPr>
                <w:rFonts w:ascii="Arial" w:cs="Arial" w:eastAsia="Arial" w:hAnsi="Arial"/>
                <w:color w:val="5F5F5F"/>
                <w:sz w:val="12"/>
                <w:szCs w:val="12"/>
              </w:rPr>
              <w:t xml:space="preserve">−2 pp vs 2024 · 2025 target: 80%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576"/>
            <w:tcBorders>
              <w:top w:val="single" w:color="14284B" w:sz="18"/>
              <w:left w:val="none" w:color="FFFFFF" w:sz="0"/>
              <w:bottom w:val="none" w:color="FFFFFF" w:sz="0"/>
              <w:right w:val="none" w:color="FFFFFF" w:sz="0"/>
            </w:tcBorders>
            <w:shd w:fill="EEF1F6" w:color="auto" w:val="clear"/>
            <w:tcMar>
              <w:top w:type="dxa" w:w="70"/>
              <w:left w:type="dxa" w:w="120"/>
              <w:bottom w:type="dxa" w:w="70"/>
              <w:right w:type="dxa" w:w="9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4284B"/>
                <w:sz w:val="30"/>
                <w:szCs w:val="30"/>
              </w:rPr>
              <w:t xml:space="preserve">37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eNPS</w:t>
            </w:r>
          </w:p>
          <w:p>
            <w:r>
              <w:rPr>
                <w:rFonts w:ascii="Arial" w:cs="Arial" w:eastAsia="Arial" w:hAnsi="Arial"/>
                <w:color w:val="5F5F5F"/>
                <w:sz w:val="12"/>
                <w:szCs w:val="12"/>
              </w:rPr>
              <w:t xml:space="preserve">−10 vs 2024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576"/>
            <w:tcBorders>
              <w:top w:val="single" w:color="14284B" w:sz="18"/>
              <w:left w:val="none" w:color="FFFFFF" w:sz="0"/>
              <w:bottom w:val="none" w:color="FFFFFF" w:sz="0"/>
              <w:right w:val="none" w:color="FFFFFF" w:sz="0"/>
            </w:tcBorders>
            <w:shd w:fill="EEF1F6" w:color="auto" w:val="clear"/>
            <w:tcMar>
              <w:top w:type="dxa" w:w="70"/>
              <w:left w:type="dxa" w:w="120"/>
              <w:bottom w:type="dxa" w:w="70"/>
              <w:right w:type="dxa" w:w="9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4284B"/>
                <w:sz w:val="30"/>
                <w:szCs w:val="30"/>
              </w:rPr>
              <w:t xml:space="preserve">88%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Leadership</w:t>
            </w:r>
          </w:p>
          <w:p>
            <w:r>
              <w:rPr>
                <w:rFonts w:ascii="Arial" w:cs="Arial" w:eastAsia="Arial" w:hAnsi="Arial"/>
                <w:color w:val="5F5F5F"/>
                <w:sz w:val="12"/>
                <w:szCs w:val="12"/>
              </w:rPr>
              <w:t xml:space="preserve">+2 pp vs 2024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578"/>
            <w:tcBorders>
              <w:top w:val="single" w:color="14284B" w:sz="18"/>
              <w:left w:val="none" w:color="FFFFFF" w:sz="0"/>
              <w:bottom w:val="none" w:color="FFFFFF" w:sz="0"/>
              <w:right w:val="none" w:color="FFFFFF" w:sz="0"/>
            </w:tcBorders>
            <w:shd w:fill="EEF1F6" w:color="auto" w:val="clear"/>
            <w:tcMar>
              <w:top w:type="dxa" w:w="70"/>
              <w:left w:type="dxa" w:w="120"/>
              <w:bottom w:type="dxa" w:w="70"/>
              <w:right w:type="dxa" w:w="90"/>
            </w:tcMar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4284B"/>
                <w:sz w:val="30"/>
                <w:szCs w:val="30"/>
              </w:rPr>
              <w:t xml:space="preserve">93%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Participation</w:t>
            </w:r>
          </w:p>
          <w:p>
            <w:r>
              <w:rPr>
                <w:rFonts w:ascii="Arial" w:cs="Arial" w:eastAsia="Arial" w:hAnsi="Arial"/>
                <w:color w:val="5F5F5F"/>
                <w:sz w:val="12"/>
                <w:szCs w:val="12"/>
              </w:rPr>
              <w:t xml:space="preserve">+3 pp vs 2024</w:t>
            </w:r>
          </w:p>
        </w:tc>
      </w:tr>
    </w:tbl>
    <w:p>
      <w:pPr>
        <w:spacing w:after="0" w:before="10" w:line="216" w:lineRule="auto"/>
      </w:pPr>
      <w:r>
        <w:rPr>
          <w:rFonts w:ascii="Arial" w:cs="Arial" w:eastAsia="Arial" w:hAnsi="Arial"/>
          <w:color w:val="5F5F5F"/>
          <w:sz w:val="11"/>
          <w:szCs w:val="11"/>
        </w:rPr>
        <w:t xml:space="preserve">Leadership (88%) is the main asset to leverage the strategy. Source: Mallplaza Annual Report 2025.</w:t>
      </w:r>
    </w:p>
    <w:p>
      <w:pPr>
        <w:pBdr>
          <w:bottom w:val="single" w:color="E9004B" w:sz="8" w:space="1"/>
        </w:pBdr>
        <w:spacing w:after="50" w:before="160"/>
      </w:pPr>
      <w:r>
        <w:rPr>
          <w:rFonts w:ascii="Arial" w:cs="Arial" w:eastAsia="Arial" w:hAnsi="Arial"/>
          <w:b/>
          <w:bCs/>
          <w:color w:val="14284B"/>
          <w:sz w:val="16"/>
          <w:szCs w:val="16"/>
        </w:rPr>
        <w:t xml:space="preserve">6. WASTE, 2025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25"/>
        <w:gridCol w:w="216"/>
        <w:gridCol w:w="5225"/>
      </w:tblGrid>
      <w:tr>
        <w:tc>
          <w:tcPr>
            <w:tcW w:type="dxa" w:w="5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30" w:before="2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S4: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Waste generation by country</w:t>
            </w:r>
          </w:p>
          <w:p>
            <w:pPr>
              <w:spacing w:after="20" w:before="0" w:line="240" w:lineRule="auto"/>
            </w:pPr>
            <w:r>
              <w:drawing>
                <wp:inline distT="0" distB="0" distL="0" distR="0">
                  <wp:extent cx="3314700" cy="1323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470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0" w:line="216" w:lineRule="auto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Source: Mallplaza Annual Report 2025.</w:t>
            </w:r>
          </w:p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5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before="200"/>
            </w:pPr>
          </w:p>
          <w:p>
            <w:pPr>
              <w:spacing w:after="80" w:before="0" w:line="228" w:lineRule="auto"/>
              <w:jc w:val="both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32,424.86 tonnes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 of waste across the region: 76% in Chile, 16% in Colombia and 7% in Peru.</w:t>
            </w:r>
          </w:p>
          <w:p>
            <w:pPr>
              <w:spacing w:after="80" w:before="0" w:line="228" w:lineRule="auto"/>
              <w:jc w:val="both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46.2% recovered: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 14,987.57 t of non-hazardous waste went to energy recovery through biogas (40.4%), recycling (36.1%) and composting (23.5%); the rest went to disposal, mainly sanitary landfills.</w:t>
            </w:r>
          </w:p>
          <w:p>
            <w:pPr>
              <w:spacing w:after="80" w:before="0" w:line="228" w:lineRule="auto"/>
              <w:jc w:val="both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Hazardous waste: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 9.03 t, a marginal amount given the nature of the business.</w:t>
            </w:r>
          </w:p>
        </w:tc>
      </w:tr>
    </w:tbl>
    <w:p>
      <w:pPr>
        <w:pBdr>
          <w:bottom w:val="single" w:color="E9004B" w:sz="8" w:space="1"/>
        </w:pBdr>
        <w:spacing w:after="50" w:before="160"/>
      </w:pPr>
      <w:r>
        <w:rPr>
          <w:rFonts w:ascii="Arial" w:cs="Arial" w:eastAsia="Arial" w:hAnsi="Arial"/>
          <w:b/>
          <w:bCs/>
          <w:color w:val="14284B"/>
          <w:sz w:val="16"/>
          <w:szCs w:val="16"/>
        </w:rPr>
        <w:t xml:space="preserve">7. ESG RISK MATRIX</w:t>
      </w:r>
    </w:p>
    <w:p>
      <w:pPr>
        <w:spacing w:after="30" w:before="20" w:line="228" w:lineRule="auto"/>
      </w:pPr>
      <w:r>
        <w:rPr>
          <w:rFonts w:ascii="Arial" w:cs="Arial" w:eastAsia="Arial" w:hAnsi="Arial"/>
          <w:b/>
          <w:bCs/>
          <w:color w:val="14284B"/>
          <w:sz w:val="14"/>
          <w:szCs w:val="14"/>
        </w:rPr>
        <w:t xml:space="preserve">Figure S5: </w:t>
      </w:r>
      <w:r>
        <w:rPr>
          <w:rFonts w:ascii="Arial" w:cs="Arial" w:eastAsia="Arial" w:hAnsi="Arial"/>
          <w:color w:val="14284B"/>
          <w:sz w:val="14"/>
          <w:szCs w:val="14"/>
        </w:rPr>
        <w:t xml:space="preserve">ESG factor matrix and its effect on the investment case</w:t>
      </w:r>
    </w:p>
    <w:p>
      <w:pPr>
        <w:spacing w:after="20" w:before="0" w:line="240" w:lineRule="auto"/>
      </w:pPr>
      <w:r>
        <w:drawing>
          <wp:inline distT="0" distB="0" distL="0" distR="0">
            <wp:extent cx="6772275" cy="461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227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0" w:line="216" w:lineRule="auto"/>
      </w:pPr>
      <w:r>
        <w:rPr>
          <w:rFonts w:ascii="Arial" w:cs="Arial" w:eastAsia="Arial" w:hAnsi="Arial"/>
          <w:color w:val="5F5F5F"/>
          <w:sz w:val="11"/>
          <w:szCs w:val="11"/>
        </w:rPr>
        <w:t xml:space="preserve">Materiality, time horizon, ability to absorb losses and net effect are team assessments. Framework adapted from S&amp;P Global Ratings' approach to ESG credit factors. Source: Mallplaza Annual Report 2025, Bloomberg, MSCI, Sustainalytics, S&amp;P Global; Team analysis.</w:t>
      </w:r>
    </w:p>
    <w:p>
      <w:pPr>
        <w:pBdr>
          <w:bottom w:val="single" w:color="E9004B" w:sz="8" w:space="1"/>
        </w:pBdr>
        <w:spacing w:after="50" w:before="160"/>
      </w:pPr>
      <w:r>
        <w:rPr>
          <w:rFonts w:ascii="Arial" w:cs="Arial" w:eastAsia="Arial" w:hAnsi="Arial"/>
          <w:b/>
          <w:bCs/>
          <w:color w:val="14284B"/>
          <w:sz w:val="16"/>
          <w:szCs w:val="16"/>
        </w:rPr>
        <w:t xml:space="preserve">8. EXECUTIVE TEAM TRACK RECORD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2300"/>
        <w:gridCol w:w="1000"/>
        <w:gridCol w:w="2000"/>
        <w:gridCol w:w="3466"/>
      </w:tblGrid>
      <w:tr>
        <w:trPr>
          <w:tblHeader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Name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Role at PLAZA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Tenure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Previous experience</w:t>
            </w:r>
          </w:p>
        </w:tc>
        <w:tc>
          <w:tcPr>
            <w:tcW w:type="dxa" w:w="3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Profile and responsibilities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Pablo Pulido Sierra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CEO (since 2026)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10 years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Grupo Casino, Grupo Éxito</w:t>
            </w:r>
          </w:p>
        </w:tc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Commercial profile; experience in regional integrations.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Fernando de Peña Iver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CEO (until 2025)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35 years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Career at Mallplaza</w:t>
            </w:r>
          </w:p>
        </w:tc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Led the company until 2025; extensive career in Latin American retail.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Derek Schweitzer Tang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Chief Administration and Finance Officer (CFO)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Since 2023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BRMalls</w:t>
            </w:r>
          </w:p>
        </w:tc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International experience; his area leads the financial structure and the entry into global indices (MSCI).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Carlos Honorato C.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CTO, Chief Technology Officer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2 years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Ripley.com, Neoris, Alto Movup, ProChile</w:t>
            </w:r>
          </w:p>
        </w:tc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Responsible for modernizing omnichannel sales and corporate cybersecurity.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María Sol de Cabo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Chief People and Culture Officer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Since 2025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Betterfly</w:t>
            </w:r>
          </w:p>
        </w:tc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Over 20 years of international experience in talent management.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Oscar Munizaga Delfín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Chief Development and Business Officer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34 years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Career at Mallplaza</w:t>
            </w:r>
          </w:p>
        </w:tc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Responsible for growth through M&amp;A and greenfield developments.</w:t>
            </w:r>
          </w:p>
        </w:tc>
      </w:tr>
      <w:t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Luis Hernán Silva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Chief Legal, Risk and Compliance Officer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27 years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Career at Mallplaza</w:t>
            </w:r>
          </w:p>
        </w:tc>
        <w:tc>
          <w:tcPr>
            <w:tcW w:type="dxa" w:w="34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line="21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Responsible for corporate legal affairs and risk and compliance management.</w:t>
            </w:r>
          </w:p>
        </w:tc>
      </w:tr>
    </w:tbl>
    <w:p>
      <w:pPr>
        <w:spacing w:after="0" w:before="10" w:line="216" w:lineRule="auto"/>
      </w:pPr>
      <w:r>
        <w:rPr>
          <w:rFonts w:ascii="Arial" w:cs="Arial" w:eastAsia="Arial" w:hAnsi="Arial"/>
          <w:color w:val="5F5F5F"/>
          <w:sz w:val="11"/>
          <w:szCs w:val="11"/>
        </w:rPr>
        <w:t xml:space="preserve">Source: company public information; Team notes (track record).</w:t>
      </w:r>
    </w:p>
    <w:sectPr>
      <w:headerReference w:type="default" r:id="rId7"/>
      <w:footerReference w:type="default" r:id="rId8"/>
      <w:pgSz w:w="11906" w:h="16838" w:orient="portrait"/>
      <w:pgMar w:top="1000" w:right="620" w:bottom="900" w:left="620" w:header="450" w:footer="4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5F5F"/>
        <w:sz w:val="14"/>
        <w:szCs w:val="14"/>
      </w:rPr>
      <w:t xml:space="preserve">A-</w:t>
    </w:r>
    <w:r>
      <w:rPr>
        <w:rFonts w:ascii="Arial" w:cs="Arial" w:eastAsia="Arial" w:hAnsi="Arial"/>
        <w:color w:val="5F5F5F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9E0" w:sz="4" w:space="2"/>
      </w:pBdr>
      <w:jc w:val="right"/>
    </w:pPr>
    <w:r>
      <w:rPr>
        <w:rFonts w:ascii="Arial" w:cs="Arial" w:eastAsia="Arial" w:hAnsi="Arial"/>
        <w:color w:val="5F5F5F"/>
        <w:sz w:val="14"/>
        <w:szCs w:val="14"/>
      </w:rPr>
      <w:t xml:space="preserve">Mallplaza (Plaza S.A.)  |  CFA Institute Research Challenge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>
      <w:pPr>
        <w:spacing w:after="0" w:before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776e5c5d5e3b831d3a6082e34880dd0764b9702.png"/><Relationship Id="rId10" Type="http://schemas.openxmlformats.org/officeDocument/2006/relationships/image" Target="media/6c32e3d1a1d4ea4565596481224b7e392927ea41.png"/><Relationship Id="rId11" Type="http://schemas.openxmlformats.org/officeDocument/2006/relationships/image" Target="media/fb371acf9afb43003bfd5fcfe998ff3f42126817.png"/><Relationship Id="rId12" Type="http://schemas.openxmlformats.org/officeDocument/2006/relationships/image" Target="media/9d7f4f37ccf94ef7fd235868df77621056da952c.png"/><Relationship Id="rId13" Type="http://schemas.openxmlformats.org/officeDocument/2006/relationships/image" Target="media/b6ce42f600e79cb79b0a52817697edfb12996ec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2026-10-17T20:44:24.721Z</dcterms:created>
  <dcterms:modified xsi:type="dcterms:W3CDTF">2026-10-17T20:44:24.721Z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