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is the largest shopping center operator in the Andean region: 37 centers and 2.36 million m² of GLA in Chile, Peru and Colombia, with revenue almost as predictable as a bond (81.4% rents, 93% fixed and UF-indexed in Chile) and an 80.5% EBITDA margin. It is a great business, but at CLP 3,555 the market prices it as if its cash flows were nearly risk-free. Weighting our DCF at 80% and peer multiples at 20%, we reach a target price of CLP 2,076 and recommend SELL. Our disagreement with the market is not about cash flows but about the discount rate: the price requires a 7.56% WACC, 285 bp below our 10.41%, and a 6.0% cap rate against the 10.1% implied by our cash flows. Growth does not rescue the price, because each new m² earns a 5.0% real return against a 7.2% real WACC, and neither the bull case (CLP 2,627) nor the appraisers' rate (CLP 2,719) reaches the share price. The main risk to the thesis is a further compression of long-term rates.</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876"/>
        <w:gridCol w:w="2876"/>
        <w:gridCol w:w="2876"/>
        <w:gridCol w:w="2876"/>
      </w:tblGrid>
      <w:tr>
        <w:tc>
          <w:tcPr>
            <w:tcW w:type="dxa" w:w="287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Recommendation</w:t>
            </w:r>
          </w:p>
          <w:p>
            <w:pPr>
              <w:keepNext w:val="false"/>
              <w:jc w:val="center"/>
            </w:pPr>
            <w:r>
              <w:rPr>
                <w:rFonts w:ascii="Arial" w:cs="Arial" w:eastAsia="Arial" w:hAnsi="Arial"/>
                <w:b/>
                <w:bCs/>
                <w:color w:val="FFFFFF"/>
                <w:sz w:val="26"/>
                <w:szCs w:val="26"/>
              </w:rPr>
              <w:t xml:space="preserve">SELL</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Target price</w:t>
            </w:r>
          </w:p>
          <w:p>
            <w:pPr>
              <w:keepNext w:val="false"/>
              <w:jc w:val="center"/>
            </w:pPr>
            <w:r>
              <w:rPr>
                <w:rFonts w:ascii="Arial" w:cs="Arial" w:eastAsia="Arial" w:hAnsi="Arial"/>
                <w:b/>
                <w:bCs/>
                <w:color w:val="FFFFFF"/>
                <w:sz w:val="26"/>
                <w:szCs w:val="26"/>
              </w:rPr>
              <w:t xml:space="preserve">CLP 2,076</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Price (30-Sep-26)</w:t>
            </w:r>
          </w:p>
          <w:p>
            <w:pPr>
              <w:keepNext w:val="false"/>
              <w:jc w:val="center"/>
            </w:pPr>
            <w:r>
              <w:rPr>
                <w:rFonts w:ascii="Arial" w:cs="Arial" w:eastAsia="Arial" w:hAnsi="Arial"/>
                <w:b/>
                <w:bCs/>
                <w:color w:val="FFFFFF"/>
                <w:sz w:val="26"/>
                <w:szCs w:val="26"/>
              </w:rPr>
              <w:t xml:space="preserve">CLP 3,555</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Upside / downside</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BUSINESS DESCRIPTION</w:t>
      </w:r>
    </w:p>
    <w:p>
      <w:pPr>
        <w:keepNext/>
        <w:pBdr>
          <w:bottom w:val="single" w:color="E9004B" w:sz="8" w:space="1"/>
        </w:pBdr>
        <w:spacing w:after="50" w:before="110"/>
        <w:ind w:right="3766"/>
      </w:pPr>
      <w:r>
        <w:rPr>
          <w:rFonts w:ascii="Arial" w:cs="Arial" w:eastAsia="Arial" w:hAnsi="Arial"/>
          <w:b/>
          <w:bCs/>
          <w:color w:val="14284B"/>
          <w:sz w:val="16"/>
          <w:szCs w:val="16"/>
        </w:rPr>
        <w:t xml:space="preserve">FROM ONE MALL IN LA FLORIDA TO 37 URBAN CENTERS ACROSS THE ANDEAN REGION</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GLA by country (2Q26) and revenue by source (LTM to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(p.19) and Institutional Presentation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was founded in 1990 with Mallplaza Vespucio, built from the ground up in La Florida, and 35 years later it is one of the leading retail real estate players in the Andean Region, with 37 urban centers and 2.36 million m² of GLA across Chile, Peru and Colombia (Figure 1). It entered Peru in 2007 with Mallplaza Trujillo, listed on the Santiago Stock Exchange in 2018, and is currently controlled by Falabella S.A., which held a 53.1% stake as of December 2025. Its business, however, remains the same as at inception: leasing m². Rent accounts for 81.4% of last-twelve-months (LTM) revenue, with the remainder coming from parking, commercial services and advertising. Because 93% of that rent is fixed and, in Chile, indexed to the UF, revenue is highly predictable, and the company also manages to grow it in real terms. In Chile, same-store rent (SSR) rose 6.5% LTM versus CPI of 4.3%, without straining its tenants, as rent represents only 9.9% of their sales (occupancy cost), nearly unchanged from a year earlier (9.7%). Nor is this an isolated good year: between 1Q23 and 2Q26, Chile SSR averaged 6.9% against inflation of 4.8%.</w:t>
      </w:r>
    </w:p>
    <w:p>
      <w:pPr>
        <w:keepNext/>
        <w:pBdr>
          <w:bottom w:val="single" w:color="E9004B" w:sz="8" w:space="1"/>
        </w:pBdr>
        <w:spacing w:after="50" w:before="110"/>
        <w:ind w:right="3766"/>
      </w:pPr>
      <w:r>
        <w:rPr>
          <w:rFonts w:ascii="Arial" w:cs="Arial" w:eastAsia="Arial" w:hAnsi="Arial"/>
          <w:b/>
          <w:bCs/>
          <w:color w:val="14284B"/>
          <w:sz w:val="16"/>
          <w:szCs w:val="16"/>
        </w:rPr>
        <w:t xml:space="preserve">A CONSTANTLY REINVENTED TENANT MIX AND HIGH MARGINS BY DESIGN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pricing power rests on a tenant mix the company has successfully reinvented. Department stores, which occupied 26.7% of GLA in 2020, fell to 19.0% in 2Q26 after Mallplaza converted roughly 146,000 m² of large-format stores since 2019 to brands such as IKEA, H&amp;M and Decathlon (Appendix 2). Today, 32.2% of GLA is devoted to essential retail and daily-traffic services, such as supermarkets, home improvement, public services and healthcare, which drive high-frequency visits, and another 21.5% to specialty retail. No single tenant dominates revenue: the top five tenants account for 18% and related parties for 15.7%. Add to this a lean cost structure, with cost of sales at 6.2% of revenue and administrative expenses at 13.9%, which leaves an LTM EBITDA margin of 80.5%.</w:t>
      </w:r>
    </w:p>
    <w:p>
      <w:pPr>
        <w:keepNext/>
        <w:pBdr>
          <w:bottom w:val="single" w:color="E9004B" w:sz="8" w:space="1"/>
        </w:pBdr>
        <w:spacing w:after="50" w:before="110"/>
        <w:ind w:right="3766"/>
      </w:pPr>
      <w:r>
        <w:rPr>
          <w:rFonts w:ascii="Arial" w:cs="Arial" w:eastAsia="Arial" w:hAnsi="Arial"/>
          <w:b/>
          <w:bCs/>
          <w:color w:val="14284B"/>
          <w:sz w:val="16"/>
          <w:szCs w:val="16"/>
        </w:rPr>
        <w:t xml:space="preserve">VALUE IS CONCENTRATED IN 10 TIER A ASSETS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growth story is written in its best assets. Ten centers, seven in Chile, two in Colombia and one in Peru, are Tier A, and with 46.4% of GLA they generate more than 60% of EBITDA (Appendix 1). Investment is directed toward them, as the expansions under construction at Trébol, Oeste, Norte, Trujillo and La Serena aim to lift Tier A assets to more than 70% of GLA.</w:t>
      </w:r>
    </w:p>
    <w:p>
      <w:pPr>
        <w:keepNext/>
        <w:pBdr>
          <w:bottom w:val="single" w:color="14284B" w:sz="18" w:space="2"/>
        </w:pBdr>
        <w:spacing w:after="80" w:before="120"/>
        <w:ind w:right="3766"/>
      </w:pPr>
      <w:r>
        <w:rPr>
          <w:rFonts w:ascii="Arial" w:cs="Arial" w:eastAsia="Arial" w:hAnsi="Arial"/>
          <w:b/>
          <w:bCs/>
          <w:color w:val="14284B"/>
          <w:sz w:val="30"/>
          <w:szCs w:val="30"/>
        </w:rPr>
        <w:t xml:space="preserve">INDUSTRY OVERVIEW AND COMPETITIVE POSITIONING</w:t>
      </w:r>
    </w:p>
    <w:p>
      <w:pPr>
        <w:keepNext/>
        <w:pBdr>
          <w:bottom w:val="single" w:color="E9004B" w:sz="8" w:space="1"/>
        </w:pBdr>
        <w:spacing w:after="50" w:before="110"/>
        <w:ind w:right="3766"/>
      </w:pPr>
      <w:r>
        <w:rPr>
          <w:rFonts w:ascii="Arial" w:cs="Arial" w:eastAsia="Arial" w:hAnsi="Arial"/>
          <w:b/>
          <w:bCs/>
          <w:color w:val="14284B"/>
          <w:sz w:val="16"/>
          <w:szCs w:val="16"/>
        </w:rPr>
        <w:t xml:space="preserve">AN INDUSTRY THAT IS CONCENTRATED IN CHILE AND FRAGMENTED IN PERU AND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retail real estate, shopping center operators do not sell products; they lease square meters of gross leasable area (GLA) to their tenants in exchange for income that is mostly fixed and indexed to each country's inflation. At Mallplaza, for example, 93% of rental income is fixed. For this reason, we measure market share by GLA rather than by sales, and on that basis Mallplaza, Cenco Malls and Parque Arauco together manage 3.4 million m² in Chile alone.</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Market share by GLA and concentration, 2Q26</w:t>
            </w:r>
          </w:p>
          <w:p>
            <w:pPr>
              <w:keepNext w:val="false"/>
              <w:spacing w:after="20" w:before="0" w:line="240" w:lineRule="auto"/>
              <w:jc w:val="center"/>
            </w:pPr>
            <w:r>
              <w:drawing>
                <wp:inline distT="0" distB="0" distL="0" distR="0">
                  <wp:extent cx="13430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430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(slide 7); team analysis. Colombia pro forma, including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Market structure, however, varies from country to country (Figure 2). In Chile, the trio holds 76% of the GLA of the main operators (CR3) and the partial HHI reaches at least 2,126 points, typical of a highly concentrated market, with Mallplaza as leader (33%) followed by Cenco (29%) and Parque Arauco (14%). In Peru and Colombia, by contrast, the trio accounts for only 37% and 13% of GLA, respectively, leadership is held by an outside operator with 29% and 9%, respectively, and Mallplaza ranks second in both markets. Fragmentation is greatest in Colombia, where most shopping centers are strata-titled (multi-owner), which forces professional operators to grow by acquiring single-owner assets, as Mallplaza did with Gran Plaza.</w:t>
      </w:r>
    </w:p>
    <w:p>
      <w:pPr>
        <w:keepNext/>
        <w:pBdr>
          <w:bottom w:val="single" w:color="E9004B" w:sz="8" w:space="1"/>
        </w:pBdr>
        <w:spacing w:after="50" w:before="110"/>
        <w:ind w:right="3766"/>
      </w:pPr>
      <w:r>
        <w:rPr>
          <w:rFonts w:ascii="Arial" w:cs="Arial" w:eastAsia="Arial" w:hAnsi="Arial"/>
          <w:b/>
          <w:bCs/>
          <w:color w:val="14284B"/>
          <w:sz w:val="16"/>
          <w:szCs w:val="16"/>
        </w:rPr>
        <w:t xml:space="preserve">NEW SUPPLY IN CHILE GROWS IN LINE WITH CONSUMPTION, WITH PRESSURE IN 2027-2028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Between 2026 and 2028, the trio will add 219,900 m² of organic GLA in Chile that will compete for consumer spending, equivalent to 6.7% of its current GLA; this figure excludes offices and multifamily, which do not depend on consumption, as well as acquisitions, which merely change ownership. Over the same period, the Central Bank of Chile projects cumulative private consumption growth of 6.4% (Figure 3), so new supply is advancing practically in line with expected demand. The timing, however, is uneven: 2026 adds almost no space (+0.2%), and pressure is concentrated in 2027 and 2028, when supply (+2.9% and +3.5%) outpaces consumption (+2.1% and +2.7%).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starting point is challenging, as in 2Q26 real tenant sales of the trio in Chile fell 2.5% YoY. Mallplaza was the only one to grow in real terms (+1.0%), versus declines at Parque Arauco (−1.7%) and Cenco (−5.9%). Even so, tenants continue to demand space, and consolidated occupancy at the three companies has ranged between 93% and 99% since 2Q22, even through the cycle of high inflation and interest rates (Appendix 4). Outside Chile, the balance is more comfortable: dated new supply is limited to Mallplaza expansions in Peru (55,800 m²), is practically nil in Colombia, and coexists with Mallplaza same-store sales (SSS) that grew 7.0% in Peru and 9.0% in Colombia in local currency.</w:t>
      </w:r>
    </w:p>
    <w:p>
      <w:pPr>
        <w:keepNext/>
        <w:pBdr>
          <w:bottom w:val="single" w:color="E9004B" w:sz="8" w:space="1"/>
        </w:pBdr>
        <w:spacing w:after="50" w:before="110"/>
        <w:ind w:right="3766"/>
      </w:pPr>
      <w:r>
        <w:rPr>
          <w:rFonts w:ascii="Arial" w:cs="Arial" w:eastAsia="Arial" w:hAnsi="Arial"/>
          <w:b/>
          <w:bCs/>
          <w:color w:val="14284B"/>
          <w:sz w:val="16"/>
          <w:szCs w:val="16"/>
        </w:rPr>
        <w:t xml:space="preserve">AN ATTRACTIVE INDUSTRY WHOSE ONLY INTENSE FORCE IS RIVALRY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To assess the industry's attractiveness, we analyze Porter's five forces in each country on a scale of 1 (weak) to 5 (intense) and weight them by Mallplaza's GLA in Chile (62%), Peru (26%) and Colombia (12%) (Figure 4; evidence in Appendix 6). The result describes an attractive industry, consistent with EBITDA margins ranging from 71% to 90% across the three operators, in which the only intense force is rivalry.</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New GLA supply in Chile vs expected private consumption,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2Q26 reports of Plaza S.A., Parque Arauco and Cenco Malls; Central Bank of Chile, Monetary Policy Report (IPoM) Sep-2026 (Table II.1); team analysis. Organic consumption-dependent GLA only.</w:t>
            </w:r>
          </w:p>
        </w:tc>
      </w:tr>
    </w:tbl>
    <w:p>
      <w:pPr>
        <w:keepNext w:val="false"/>
        <w:spacing w:after="60" w:before="0" w:line="228" w:lineRule="auto"/>
        <w:ind w:right="3766"/>
        <w:jc w:val="both"/>
      </w:pPr>
      <w:r>
        <w:rPr>
          <w:rFonts w:ascii="Arial" w:cs="Arial" w:eastAsia="Arial" w:hAnsi="Arial"/>
          <w:b/>
          <w:bCs/>
          <w:i w:val="false"/>
          <w:iCs w:val="false"/>
          <w:color w:val="14284B"/>
          <w:sz w:val="16"/>
          <w:szCs w:val="16"/>
        </w:rPr>
        <w:t xml:space="preserve">Rivalry (4)</w:t>
      </w:r>
      <w:r>
        <w:rPr>
          <w:rFonts w:ascii="Arial" w:cs="Arial" w:eastAsia="Arial" w:hAnsi="Arial"/>
          <w:i w:val="false"/>
          <w:iCs w:val="false"/>
          <w:color w:val="1A1A1A"/>
          <w:sz w:val="16"/>
          <w:szCs w:val="16"/>
        </w:rPr>
        <w:t xml:space="preserve"> is played out not on price but on experience and assets. Mallplaza devotes more than half of its GLA to non-traditional, experience and entertainment formats, Cenco opened QINTO with 30,000 m² of food and dining at Costanera, and Parque Arauco is adding dining floors at Kennedy, while competition to acquire assets is intensifying, with Minka and Plaza Central changing hands in the past year and Parque Arauco announcing the purchase of Quilín and Chicureo. We do not assign the maximum score because the trio's shares in Chile have remained stable since 2Q22 (Appendix 5) and margins show no erosion.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threat of </w:t>
      </w:r>
      <w:r>
        <w:rPr>
          <w:rFonts w:ascii="Arial" w:cs="Arial" w:eastAsia="Arial" w:hAnsi="Arial"/>
          <w:b/>
          <w:bCs/>
          <w:i w:val="false"/>
          <w:iCs w:val="false"/>
          <w:color w:val="14284B"/>
          <w:sz w:val="16"/>
          <w:szCs w:val="16"/>
        </w:rPr>
        <w:t xml:space="preserve">new entrants (2)</w:t>
      </w:r>
      <w:r>
        <w:rPr>
          <w:rFonts w:ascii="Arial" w:cs="Arial" w:eastAsia="Arial" w:hAnsi="Arial"/>
          <w:i w:val="false"/>
          <w:iCs w:val="false"/>
          <w:color w:val="1A1A1A"/>
          <w:sz w:val="16"/>
          <w:szCs w:val="16"/>
        </w:rPr>
        <w:t xml:space="preserve"> is limited, because developing a shopping center is highly capital-intensive (Mallplaza's expansion pipeline totals USD 613 million for 170,200 m²) and much of the scarce urban land is already in the hands of incumbents, with land banks of 618,200 m² at Mallplaza and 640,136 m² at Cenco, although the barrier is lower in Peru and especially in Colombia. The </w:t>
      </w:r>
      <w:r>
        <w:rPr>
          <w:rFonts w:ascii="Arial" w:cs="Arial" w:eastAsia="Arial" w:hAnsi="Arial"/>
          <w:b/>
          <w:bCs/>
          <w:i w:val="false"/>
          <w:iCs w:val="false"/>
          <w:color w:val="14284B"/>
          <w:sz w:val="16"/>
          <w:szCs w:val="16"/>
        </w:rPr>
        <w:t xml:space="preserve">bargaining power of tenants (1)</w:t>
      </w:r>
      <w:r>
        <w:rPr>
          <w:rFonts w:ascii="Arial" w:cs="Arial" w:eastAsia="Arial" w:hAnsi="Arial"/>
          <w:i w:val="false"/>
          <w:iCs w:val="false"/>
          <w:color w:val="1A1A1A"/>
          <w:sz w:val="16"/>
          <w:szCs w:val="16"/>
        </w:rPr>
        <w:t xml:space="preserve"> is weak, given that occupancy in Chile reaches 96-99%, leases are long (Figure 6) and tenants are highly fragmented, to the point that the top five account for only 18% of Mallplaza's revenue. Evidence of this is that Mallplaza has raised its rents in Chile above inflation for more than three years (6.9% versus 4.8% on average between 1Q23 and 2Q26) without its tenants' occupancy cost spiking. The exception is department stores, which as anchors negotiate better terms, although their weight has already fallen to 19.0% of GLA. </w:t>
      </w:r>
      <w:r>
        <w:rPr>
          <w:rFonts w:ascii="Arial" w:cs="Arial" w:eastAsia="Arial" w:hAnsi="Arial"/>
          <w:b/>
          <w:bCs/>
          <w:i w:val="false"/>
          <w:iCs w:val="false"/>
          <w:color w:val="14284B"/>
          <w:sz w:val="16"/>
          <w:szCs w:val="16"/>
        </w:rPr>
        <w:t xml:space="preserve">Suppliers (1)</w:t>
      </w:r>
      <w:r>
        <w:rPr>
          <w:rFonts w:ascii="Arial" w:cs="Arial" w:eastAsia="Arial" w:hAnsi="Arial"/>
          <w:i w:val="false"/>
          <w:iCs w:val="false"/>
          <w:color w:val="1A1A1A"/>
          <w:sz w:val="16"/>
          <w:szCs w:val="16"/>
        </w:rPr>
        <w:t xml:space="preserve"> carry little weight, because common-area expenses are passed through to tenants and cost of sales represents only 6.2% of Mallplaza's revenue. Finally, </w:t>
      </w:r>
      <w:r>
        <w:rPr>
          <w:rFonts w:ascii="Arial" w:cs="Arial" w:eastAsia="Arial" w:hAnsi="Arial"/>
          <w:b/>
          <w:bCs/>
          <w:i w:val="false"/>
          <w:iCs w:val="false"/>
          <w:color w:val="14284B"/>
          <w:sz w:val="16"/>
          <w:szCs w:val="16"/>
        </w:rPr>
        <w:t xml:space="preserve">substitutes (2)</w:t>
      </w:r>
      <w:r>
        <w:rPr>
          <w:rFonts w:ascii="Arial" w:cs="Arial" w:eastAsia="Arial" w:hAnsi="Arial"/>
          <w:i w:val="false"/>
          <w:iCs w:val="false"/>
          <w:color w:val="1A1A1A"/>
          <w:sz w:val="16"/>
          <w:szCs w:val="16"/>
        </w:rPr>
        <w:t xml:space="preserve"> are a low threat: e-commerce takes sales away from tenants, but fixed rent protects the operator and foot traffic keeps growing, as shown by the 4.4% increase at Mallplaza Chile in 2Q26.</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Porter's five forces, 1-5 scale</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based on 2Q26 reports (Appendix 6). 1 = weak force; 5 = intense force.</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MALLPLAZA TURNS ITS SCALE INTO THE MOST PRODUCTIVE M² OF THE TRIO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turns its scale into the highest EBITDA per m² of the trio, at CLP 59,451 in 2Q26 versus 58,384 at Cenco and 55,738 at Parque Arauco (Figure 5). That advantage stems from high-traffic urban locations, which in Chile received 52.7 million visits in the quarter versus 32.5 million at Cenco, and from monthly sales per m² of CLP 289,788 in Chile, 5.8% higher than a year earlier. The gap with Cenco is narrow and is partly explained by Cenco having added Plaza Central in June, with just one month of EBITDA in the quarter.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share, Mallplaza has ceded 1.2 pp within the trio in Chile since 2Q22, mainly because Parque Arauco added Kennedy Oriente (70,000 m²) through an acquisition while Mallplaza grew only through expansions, an organic strategy that its 114,400 m² pipeline in Chile through 2028 allows it to sustain.</w:t>
      </w:r>
    </w:p>
    <w:p>
      <w:pPr>
        <w:keepNext/>
        <w:pBdr>
          <w:bottom w:val="single" w:color="E9004B" w:sz="8" w:space="1"/>
        </w:pBdr>
        <w:spacing w:after="50" w:before="110"/>
        <w:ind w:right="3766"/>
      </w:pPr>
      <w:r>
        <w:rPr>
          <w:rFonts w:ascii="Arial" w:cs="Arial" w:eastAsia="Arial" w:hAnsi="Arial"/>
          <w:b/>
          <w:bCs/>
          <w:color w:val="14284B"/>
          <w:sz w:val="16"/>
          <w:szCs w:val="16"/>
        </w:rPr>
        <w:t xml:space="preserve">LONG LEASES TO DEFEND ITS POSITION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position is backed by long-duration leases. The weighted average remaining lease term at Mallplaza is 7.1 years and 57% of its GLA expires in more than five years (Figure 6), placing it between Cenco (8.7 years) and Parque Arauco (5.0 years) with a useful balance: it secures enough revenue to weather the supply pressure of 2027-2028 while leaving 15.1% of GLA expiring within two years to reset rents if demand allows.</w:t>
      </w:r>
    </w:p>
    <w:tbl>
      <w:tblPr>
        <w:tblpPr w:leftFromText="0" w:rightFromText="0" w:topFromText="0" w:bottomFromText="0" w:tblpX="7956" w:tblpY="61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Lease expiry profile (% of GLA) and weighted average remaining term,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(p.7); Cenco Malls Earnings Presentation 2Q26 (p.14); Parque Arauco 2Q26 Report (p.7) and Investor Presentation 2Q26 (slide 17). GLA-weighted; assumption for Mallplaza.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an attractive industry, but one with high rivalry and supply that will outpace consumption in 2027-2028, the operators with the most productive assets and the most stable leases will gain share and profitability. Mallplaza leads in scale in Chile and in productivity per m², and is the only one of the trio with growing real sales, which leaves it well positioned to defend its profitability. Its main risk is its exposure to Chile, which accounts for 62% of its GLA and where consumption currently looks weaker.</w:t>
      </w:r>
    </w:p>
    <w:p>
      <w:pPr>
        <w:keepNext/>
        <w:pBdr>
          <w:bottom w:val="single" w:color="14284B" w:sz="18" w:space="2"/>
        </w:pBdr>
        <w:spacing w:after="80" w:before="120"/>
        <w:ind w:right="3766"/>
      </w:pPr>
      <w:r>
        <w:rPr>
          <w:rFonts w:ascii="Arial" w:cs="Arial" w:eastAsia="Arial" w:hAnsi="Arial"/>
          <w:b/>
          <w:bCs/>
          <w:color w:val="14284B"/>
          <w:sz w:val="30"/>
          <w:szCs w:val="30"/>
        </w:rPr>
        <w:t xml:space="preserve">ENVIRONMENTAL, SOCIAL AND GOVERNANCE (ESG)</w:t>
      </w:r>
    </w:p>
    <w:tbl>
      <w:tblPr>
        <w:tblpPr w:leftFromText="0" w:rightFromText="0" w:topFromText="0" w:bottomFromText="0" w:tblpX="7956" w:tblpY="295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EBITDA per m² of GLA, 2Q26 quarterly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Cenco Malls Earnings Presentation 2Q26; Parque Arauco 2Q26 Report; team analysis. 2Q26 EBITDA / consolidated GLA as of June 30, 2026.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PLAZA's ESG approach cuts across all of its organizational decisions, with the aim of developing its business model in accordance with ESG parameters and thereby contributing to sustainable development, which gives it the opportunity to access financial benefits both from external sources and from its own operations. Regarding compliance with these parameters, Bloomberg rates the company at 3.39 points, below the global industry average (5–6 points) and below its direct competition in Chile (Figure 7), but this is offset by the company's “green” profile at the local level, since it ranks among the leading REM (real estate)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As for the benefits of its own operations, the implementation of an energy management system (EnMS) certified under ISO 50001 translates into better energy performance and therefore lower operating costs. The opportunities to access local external benefits are tied to the company's ESG image: in Chile, under the R&amp;D Law (CORFO), PLAZA can obtain up to a 55% reduction in first-category tax; Peru recognizes the company with 2 out of 4 stars in “Huella de Carbono Perú”, which strengthens its image and makes it easier to obtain permits and licenses in the country; and Colombia has Law 2099 of 2021, which allows income-tax deductions for investments in environmental control, conservation and improvement. In addition, the company holds certifications and recognitions that support its ESG image and has joined indices such as DJSI MILA (Figure 7) that give it exposure to ETFs. According to Morgan Stanley estimates, PLAZA's inclusion in the MSCI index could generate passive flows of around US$110 million, equivalent to about 15 times its average daily traded volume, which would strengthen the stock's liquidity. In value terms, Figure 12 estimates (as a scenario, not as data) that operating ESG savings add about CLP 2 per share and that a 25 bp cut in the cost of debt and equity would add CLP 71, against the CLP 1,406 that separate the target price from the share price.</w:t>
      </w:r>
    </w:p>
    <w:p>
      <w:pPr>
        <w:keepNext/>
        <w:pBdr>
          <w:bottom w:val="single" w:color="E9004B" w:sz="8" w:space="1"/>
        </w:pBdr>
        <w:spacing w:after="50" w:before="110"/>
        <w:ind w:right="3766"/>
      </w:pPr>
      <w:r>
        <w:rPr>
          <w:rFonts w:ascii="Arial" w:cs="Arial" w:eastAsia="Arial" w:hAnsi="Arial"/>
          <w:b/>
          <w:bCs/>
          <w:color w:val="14284B"/>
          <w:sz w:val="16"/>
          <w:szCs w:val="16"/>
        </w:rPr>
        <w:t xml:space="preserve">ENVIRONMENTAL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PLAZA's approach is to achieve efficient, sustainable and circular operational management based on continuous improvement in environmental performance, which translates into cost savings in its operations. To this end, it has set three strategic focus areas on ESG parameters: energy and water efficiency, carbon footprint, and waste management. PLAZA's main objective is to achieve carbon neutrality, targeting Net Zero in direct and indirect emissions by 2035 (65.6% success rate in 2025).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aims to reduce the energy intensity of common-area expenses by 22% by 2035 (35.5% success rate in 2025; Figure 8). The electricity efficiency target is for 100% to come from renewable energy by 2026 (89.3% success rate). In 2025, the annual ratio was 0.16 MWh/m² (Energy/GLA), of which 0.14 was renewable and 0.014 non-renewable (Figure 9). </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It set the goal of reducing direct water consumption by 30% by 2025, which was 100.9% achieved, influenced by its LEED and EDGE certifications. In 2025, the annual ratio (average) was 0.77 m³/m² (Water/GLA) and 0.66 m³/m² monthly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It set the goal of eliminating 100% of HCFC use by 2030 (14.9% success rate in 2025), which is vital for GHG emissions management, an area in which Bloomberg recognizes PLAZA as a global industry leader.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set a target of 60% recovery of the waste generated in 2025 (94.8% success rate; Figure 9 and Appendix 8, Figure 8.4), and also seeks to divert 75% of solid waste from landfills by 2027. It reports having eliminated 97% of single-use plastics from its operations. </w:t>
      </w:r>
      <w:r>
        <w:rPr>
          <w:rFonts w:ascii="Arial" w:cs="Arial" w:eastAsia="Arial" w:hAnsi="Arial"/>
          <w:b/>
          <w:bCs/>
          <w:i w:val="false"/>
          <w:iCs w:val="false"/>
          <w:color w:val="14284B"/>
          <w:sz w:val="16"/>
          <w:szCs w:val="16"/>
        </w:rPr>
        <w:t xml:space="preserve">Climate management:</w:t>
      </w:r>
      <w:r>
        <w:rPr>
          <w:rFonts w:ascii="Arial" w:cs="Arial" w:eastAsia="Arial" w:hAnsi="Arial"/>
          <w:i w:val="false"/>
          <w:iCs w:val="false"/>
          <w:color w:val="1A1A1A"/>
          <w:sz w:val="16"/>
          <w:szCs w:val="16"/>
        </w:rPr>
        <w:t xml:space="preserve"> PLAZA adopts the TCFD recommendations to integrate physical and transition risks, together with an environmental due diligence on asset acquisitions, under an environmental compliance program aligned with ISO 14001 and monitored by the sustainability committee.</w:t>
      </w:r>
    </w:p>
    <w:tbl>
      <w:tblPr>
        <w:tblpPr w:leftFromText="0" w:rightFromText="0" w:topFromText="0" w:bottomFromText="0" w:tblpX="7956" w:tblpY="-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Bloomberg ESG score and external ratings.</w:t>
            </w:r>
          </w:p>
          <w:p>
            <w:pPr>
              <w:keepNext w:val="false"/>
              <w:spacing w:after="20" w:before="0" w:line="240" w:lineRule="auto"/>
              <w:jc w:val="center"/>
            </w:pPr>
            <w:r>
              <w:drawing>
                <wp:inline distT="0" distB="0" distL="0" distR="0">
                  <wp:extent cx="17621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621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company approaches the social dimension through a model focused on long-term ethical relationships (Appendix 8, Figure 8.3), as a principle of shared value creation that places the people in its stakeholder groups at the center of its strategy, aligned with ISO 45001 and ILO guidelines; in 2025 it incorporated the risk detection and response program of its human rights policy. In this way, PLAZA manages its stakeholders by ensuring transparent engagement, using mechanisms such as community dialogues, materiality assessments and organizational culture surveys (Appendix 8, section 5), and remains alert to any social incident through its integrity hotline. It is also recognized by CADEM at 31st out of 385 in “Marcas Ciudadanas” (“Citizen Brands”), winning the “Shopping Centers” category (2026). Regarding employees, they receive training and even have access to specific programs for those nearing retirement; in addition, the company evaluates its suppliers using sustainability criteria (55.3% of regional suppliers and 38.4% of foreign suppliers). PLAZA manages its relationship with its customers (tenants) through a relationship model focused on value proposition and experience, measuring their satisfaction through NPS, which rose to 13% in 2025 (Figure 10). To manage emergencies, each center has emergency manuals adapted to local geographic contexts and conducts drills to prevent incidents and educate the community (52 drills were conducted in 2025); regarding privacy, PLAZA implemented ISO/IEC 27001, ensuring the confidentiality, integrity and availability of information against cyber risks.</w:t>
      </w:r>
    </w:p>
    <w:tbl>
      <w:tblPr>
        <w:tblpPr w:leftFromText="0" w:rightFromText="0" w:topFromText="0" w:bottomFromText="0" w:tblpX="7956" w:tblpY="35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12: </w:t>
            </w:r>
            <w:r>
              <w:rPr>
                <w:rFonts w:ascii="Arial" w:cs="Arial" w:eastAsia="Arial" w:hAnsi="Arial"/>
                <w:color w:val="14284B"/>
                <w:sz w:val="14"/>
                <w:szCs w:val="14"/>
              </w:rPr>
              <w:t xml:space="preserve">ESG savings and lower cost of capital versus the share price (scenario).</w:t>
            </w:r>
          </w:p>
          <w:p>
            <w:pPr>
              <w:keepNext w:val="false"/>
              <w:spacing w:after="20" w:before="0" w:line="240" w:lineRule="auto"/>
              <w:jc w:val="center"/>
            </w:pPr>
            <w:r>
              <w:drawing>
                <wp:inline distT="0" distB="0" distL="0" distR="0">
                  <wp:extent cx="1619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Scenario: unit prices (energy CLP 110/kWh, water CLP 1,500/m³, waste CLP 10,000/t), the 25% of savings retained by Mallplaza and the 25 bp cut in Kd and Ke are team assumptions, not data from the sources. Volumes: Mallplaza 2025 Annual Report. Source: model v3, ESG_Ahorros sheet;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diversity, women represent 53.2% of the total workforce and hold 42% of management positions (Figure 10), a point in the company's favor in terms of workforce balance, but there is a gender pay gap averaging 28% at the regional level, which undermines that balance; in addition, there is only one woman on the Board, out of 9 directors. The target for 2028 is for 60% of the properties to be certified as inclusive spaces, and PLAZA obtained the “Sello Mayor” (“Senior Seal”) at one of its urban centers, the first in Chile to obtain it, a distinction that certifies physical and operational adaptation for older adults. These certifications matter to the community, and as PLAZA expands it is important that it builds to the parameters the certification requires, avoiding additional costs of retrofitting those facilities in the future, and begins the transition of its existing centers to these conditions.</w:t>
      </w:r>
    </w:p>
    <w:p>
      <w:pPr>
        <w:keepNext/>
        <w:pBdr>
          <w:bottom w:val="single" w:color="E9004B" w:sz="8" w:space="1"/>
        </w:pBdr>
        <w:spacing w:after="50" w:before="110"/>
        <w:ind w:right="3766"/>
      </w:pPr>
      <w:r>
        <w:rPr>
          <w:rFonts w:ascii="Arial" w:cs="Arial" w:eastAsia="Arial" w:hAnsi="Arial"/>
          <w:b/>
          <w:bCs/>
          <w:color w:val="14284B"/>
          <w:sz w:val="16"/>
          <w:szCs w:val="16"/>
        </w:rPr>
        <w:t xml:space="preserve">GOVERNANCE</w:t>
      </w:r>
    </w:p>
    <w:tbl>
      <w:tblPr>
        <w:tblpPr w:leftFromText="0" w:rightFromText="0" w:topFromText="0" w:bottomFromText="0" w:tblpX="7956" w:tblpY="239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11: </w:t>
            </w:r>
            <w:r>
              <w:rPr>
                <w:rFonts w:ascii="Arial" w:cs="Arial" w:eastAsia="Arial" w:hAnsi="Arial"/>
                <w:color w:val="14284B"/>
                <w:sz w:val="14"/>
                <w:szCs w:val="14"/>
              </w:rPr>
              <w:t xml:space="preserve">ESG incentives and Board composition.</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Corporate governance is guided by the G20 and OECD principles, aligned with the CMF's NCG 461; all of this seeks transparent management with risk control and a solid structure to monitor the corporate strategy and ESG commitments. </w:t>
      </w:r>
      <w:r>
        <w:rPr>
          <w:rFonts w:ascii="Arial" w:cs="Arial" w:eastAsia="Arial" w:hAnsi="Arial"/>
          <w:b/>
          <w:bCs/>
          <w:i w:val="false"/>
          <w:iCs w:val="false"/>
          <w:color w:val="14284B"/>
          <w:sz w:val="16"/>
          <w:szCs w:val="16"/>
        </w:rPr>
        <w:t xml:space="preserve">Structure of the board of directors and committees:</w:t>
      </w:r>
      <w:r>
        <w:rPr>
          <w:rFonts w:ascii="Arial" w:cs="Arial" w:eastAsia="Arial" w:hAnsi="Arial"/>
          <w:i w:val="false"/>
          <w:iCs w:val="false"/>
          <w:color w:val="1A1A1A"/>
          <w:sz w:val="16"/>
          <w:szCs w:val="16"/>
        </w:rPr>
        <w:t xml:space="preserve"> The Board is composed of 9 members, only one of whom is classified as independent, below 50%, which creates agency risks (Figure 11 and Appendix 8, Figure 8.2) and is the only unfavorable factor in the ESG risk matrix (Appendix 8, Figure 8.5). This body is responsible for defining PLAZA's objectives, strategies and policies, while the directors' committee (composed of 3 members) reviews the balance sheets and financial statements, seeking to mitigate agency risks. Together, both bodies oversee the risk management led by the executive team committee and the CEO. In the second half of 2025, CEO Fernando de Peña Iver submitted his resignation, effective at year-end, and Pablo Pulido Sierra took over the position in 2026. </w:t>
      </w:r>
      <w:r>
        <w:rPr>
          <w:rFonts w:ascii="Arial" w:cs="Arial" w:eastAsia="Arial" w:hAnsi="Arial"/>
          <w:b/>
          <w:bCs/>
          <w:i w:val="false"/>
          <w:iCs w:val="false"/>
          <w:color w:val="14284B"/>
          <w:sz w:val="16"/>
          <w:szCs w:val="16"/>
        </w:rPr>
        <w:t xml:space="preserve">Executive compensation:</w:t>
      </w:r>
      <w:r>
        <w:rPr>
          <w:rFonts w:ascii="Arial" w:cs="Arial" w:eastAsia="Arial" w:hAnsi="Arial"/>
          <w:i w:val="false"/>
          <w:iCs w:val="false"/>
          <w:color w:val="1A1A1A"/>
          <w:sz w:val="16"/>
          <w:szCs w:val="16"/>
        </w:rPr>
        <w:t xml:space="preserve"> 33.3% of executives' variable pay depends on ESG KPIs, and in total 61% is tied to non-financial metrics (Figure 11), which aligns management's incentives with PLAZA's ESG goals. </w:t>
      </w:r>
      <w:r>
        <w:rPr>
          <w:rFonts w:ascii="Arial" w:cs="Arial" w:eastAsia="Arial" w:hAnsi="Arial"/>
          <w:b/>
          <w:bCs/>
          <w:i w:val="false"/>
          <w:iCs w:val="false"/>
          <w:color w:val="14284B"/>
          <w:sz w:val="16"/>
          <w:szCs w:val="16"/>
        </w:rPr>
        <w:t xml:space="preserve">Shareholders:</w:t>
      </w:r>
      <w:r>
        <w:rPr>
          <w:rFonts w:ascii="Arial" w:cs="Arial" w:eastAsia="Arial" w:hAnsi="Arial"/>
          <w:i w:val="false"/>
          <w:iCs w:val="false"/>
          <w:color w:val="1A1A1A"/>
          <w:sz w:val="16"/>
          <w:szCs w:val="16"/>
        </w:rPr>
        <w:t xml:space="preserve"> PLAZA has a concentrated control model, as it is controlled by Falabella S.A. through its subsidiary Desarrollos Inmobiliarios SpA (53.10% of the shares; Appendix 8, Figure 8.1); minority shareholders holding 1% are entitled to propose director candidates, and the shareholders are the highest body, responsible for appointing the Board and external auditors and approving dividend policies.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The ethical framework is supported by the integrity code and the crime prevention model, which together provide a guide for the organization's conduct. In addition, PLAZA operates the Autocompliance platform to record meetings with public officials and manage gifts and invitations, along with a confidential integrity hotline for reporting irregularities without risk to the whistleblower; in 2025 the company reported regional non-compliance cases and complaints related to workers and customers, but none concerning corruption or conduct that undermines market development (Appendix 8, section 3). Under the supervision of the directors' committee a control model is in place, with an internal audit reported monthly to the committee that monitors corrective actions; in parallel, the committee must appoint external auditors and credit rating agencies to analyze the company, as well as have the financial statements audited by independent auditors.</w:t>
      </w:r>
    </w:p>
    <w:p>
      <w:pPr>
        <w:keepNext/>
        <w:pBdr>
          <w:bottom w:val="single" w:color="14284B" w:sz="18" w:space="2"/>
        </w:pBdr>
        <w:spacing w:after="80" w:before="120"/>
        <w:ind w:right="3766"/>
      </w:pPr>
      <w:r>
        <w:rPr>
          <w:rFonts w:ascii="Arial" w:cs="Arial" w:eastAsia="Arial" w:hAnsi="Arial"/>
          <w:b/>
          <w:bCs/>
          <w:color w:val="14284B"/>
          <w:sz w:val="30"/>
          <w:szCs w:val="30"/>
        </w:rPr>
        <w:t xml:space="preserve">FINANCIAL ANALYSIS</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keepNext w:val="false"/>
        <w:spacing w:after="30" w:before="40" w:line="228" w:lineRule="auto"/>
      </w:pPr>
      <w:r>
        <w:rPr>
          <w:rFonts w:ascii="Arial" w:cs="Arial" w:eastAsia="Arial" w:hAnsi="Arial"/>
          <w:b/>
          <w:bCs/>
          <w:color w:val="14284B"/>
          <w:sz w:val="14"/>
          <w:szCs w:val="14"/>
        </w:rPr>
        <w:t xml:space="preserve">Figure 13: </w:t>
      </w:r>
      <w:r>
        <w:rPr>
          <w:rFonts w:ascii="Arial" w:cs="Arial" w:eastAsia="Arial" w:hAnsi="Arial"/>
          <w:color w:val="14284B"/>
          <w:sz w:val="14"/>
          <w:szCs w:val="14"/>
        </w:rPr>
        <w:t xml:space="preserve">Normalized ROE of 8–10% is the real return; reported ROE is appraisal-driven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keepNext w:val="false"/>
        <w:spacing w:after="60"/>
      </w:pPr>
    </w:p>
    <w:p>
      <w:pPr>
        <w:keepNext/>
        <w:pBdr>
          <w:bottom w:val="single" w:color="E9004B" w:sz="8" w:space="1"/>
        </w:pBdr>
        <w:spacing w:after="50" w:before="110"/>
        <w:ind w:right="3766"/>
      </w:pPr>
      <w:r>
        <w:rPr>
          <w:rFonts w:ascii="Arial" w:cs="Arial" w:eastAsia="Arial" w:hAnsi="Arial"/>
          <w:b/>
          <w:bCs/>
          <w:color w:val="14284B"/>
          <w:sz w:val="16"/>
          <w:szCs w:val="16"/>
        </w:rPr>
        <w:t xml:space="preserve">Reported earnings track the appraiser; FFO tracks the business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Under IAS 40, revaluations of investment property run through the income statement. In 2025 a CLP 1,447bn fair-value gain, 27% of opening property value against about 2% a year at Parque Arauco and Cencosud Shopping, lifted attributable net income to CLP 1,431bn (2.2x revenue) and reported ROE to 37.5% (Figure 13). About two-thirds of Chile's 29% uplift came from a lower appraisal discount rate, not from higher NOI.</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Excluding fair-value gains net of deferred tax, audited distributable profit was CLP 369bn and ROE 9.7%, the highest of the three local peers on a comparable basis (Appendix 14). FFO, which we rebuild from the statements to within 0.02% of the reported CLP 405bn (Figure 14), held a 59–62% margin over 2022–2025 while net income swung more than fourfold. FFO excludes the UF indexation of debt (CLP 44bn, 11% of FFO); distributable profit includes it and is our conservative earnings anchor.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Broken down, 2025 normalized ROE (9.7%) is a 56.5% normalized net margin times an asset turnover of only 0.097x and 1.77x accounting leverage. Turnover is low because the balance sheet is at fair value: each revaluation inflates assets and equity without bringing in more cash. We therefore forecast normalized ROE stable at around 8%, rising only with leverage, not with operations.</w:t>
      </w:r>
    </w:p>
    <w:tbl>
      <w:tblPr>
        <w:tblpPr w:leftFromText="0" w:rightFromText="0" w:topFromText="0" w:bottomFromText="0" w:tblpX="7956" w:tblpY="-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8: </w:t>
            </w:r>
            <w:r>
              <w:rPr>
                <w:rFonts w:ascii="Arial" w:cs="Arial" w:eastAsia="Arial" w:hAnsi="Arial"/>
                <w:color w:val="14284B"/>
                <w:sz w:val="14"/>
                <w:szCs w:val="14"/>
              </w:rPr>
              <w:t xml:space="preserve">Environmental targets: progress to 2025.</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Two-thirds of 2025 growth was bought; organic real growth is about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Revenue rose 76% between 2022 and 2025, but 21.8pp of 2025's 32.2% came from perimeter: the Peruvian portfolio bought from Falabella, consolidated from 4 December 2024. Ex-Peru, revenue grew 10.7% in 2025 and 7.1% in 1H26.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Once currency and inflation are removed, 1H26 reported growth of 7.4% falls to about 3.0% real (Figure 15). Chile grew 2.8% after 3.1% UF indexation (5.1% in 2025); Peru 4.5% despite occupancy slipping to 93.8%; Colombia only about 1% once a 7.5% COP appreciation and 6.1% inflation are stripped out. In other words, roughly 60% of 1H26 reported growth came from prices and currency, not from more activity.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Growth is contractual, not sales-driven. Variable rent is 5.1% of revenue and fell 1.1% in 1H26 while tenant sales rose 6.7%, because minimum rents (same-store rent +5.5%) are outpacing tenant sales (same-store sales +3.7%). Revenue is therefore bond-like, but its real growth is converging on the 0.4–0.9% the company assumes for Chile in its own appraisal.</w:t>
      </w:r>
    </w:p>
    <w:p>
      <w:pPr>
        <w:keepNext/>
        <w:pBdr>
          <w:bottom w:val="single" w:color="E9004B" w:sz="8" w:space="1"/>
        </w:pBdr>
        <w:spacing w:after="50" w:before="110"/>
        <w:ind w:right="3766"/>
      </w:pPr>
      <w:r>
        <w:rPr>
          <w:rFonts w:ascii="Arial" w:cs="Arial" w:eastAsia="Arial" w:hAnsi="Arial"/>
          <w:b/>
          <w:bCs/>
          <w:color w:val="14284B"/>
          <w:sz w:val="16"/>
          <w:szCs w:val="16"/>
        </w:rPr>
        <w:t xml:space="preserve">Margin gains came from mix and cost recovery; operating leverage is spent</w:t>
      </w:r>
    </w:p>
    <w:tbl>
      <w:tblPr>
        <w:tblpPr w:leftFromText="0" w:rightFromText="0" w:topFromText="0" w:bottomFromText="0" w:tblpX="7956" w:tblpY="56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9: </w:t>
            </w:r>
            <w:r>
              <w:rPr>
                <w:rFonts w:ascii="Arial" w:cs="Arial" w:eastAsia="Arial" w:hAnsi="Arial"/>
                <w:color w:val="14284B"/>
                <w:sz w:val="14"/>
                <w:szCs w:val="14"/>
              </w:rPr>
              <w:t xml:space="preserve">Renewable energy and waste recovery, 2025.</w:t>
            </w:r>
          </w:p>
          <w:p>
            <w:pPr>
              <w:keepNext w:val="false"/>
              <w:spacing w:after="20" w:before="0" w:line="240" w:lineRule="auto"/>
              <w:jc w:val="center"/>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EBITDA margin rose from 76.2% in 2022 to 80.5% in 2025 for two reasons. Peru consolidates at an 83% segment margin, against 80% in Chile and 73% in Colombia. Chile's margin gained 2.4pp on a higher recovery of common charges, which are presented net of cost (Note 2.20): real, but dependent on occupancy and tenant negotiations, so not structural.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With cost of sales at 6% of revenue and total operating costs near 20%, little fixed cost is left to dilute; with D&amp;A at 0.7% of revenue, EBIT (CLP 523bn in 2025) tracks EBITDA. In 1H26 EBITDA grew 7.4%, in line with revenue, and margin held at 79.7%. Administrative expense rose 18.1% on payroll (+18.9%: CEO transition and a full year of Peru), a bad-debt charge rebounding from a 2025 base flattered by recoveries (0.64% of revenue, below 1.22% in 2024), and a one-off Colombian wealth tax of CLP 1.7bn. Excluding the last two, 1H26 margin would be 80.4%, up 0.7pp.</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costs have already fallen from 23.8% of revenue in 2023 to 20.1% in 2025 (Appendix 11), so there is little left for the margin to gain: from here, EBITDA grows with rents, not with efficiency.</w:t>
      </w:r>
    </w:p>
    <w:p>
      <w:pPr>
        <w:keepNext/>
        <w:pBdr>
          <w:bottom w:val="single" w:color="E9004B" w:sz="8" w:space="1"/>
        </w:pBdr>
        <w:spacing w:after="50" w:before="110"/>
        <w:ind w:right="3766"/>
      </w:pPr>
      <w:r>
        <w:rPr>
          <w:rFonts w:ascii="Arial" w:cs="Arial" w:eastAsia="Arial" w:hAnsi="Arial"/>
          <w:b/>
          <w:bCs/>
          <w:color w:val="14284B"/>
          <w:sz w:val="16"/>
          <w:szCs w:val="16"/>
        </w:rPr>
        <w:t xml:space="preserve">Cash covers the dividend 2.6x; the ceiling is policy, not liquidity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cash flow rose from CLP 301bn in 2024 to CLP 441bn in 2025, converting 98.7% of EBITDA before tax. Cash tax was only 15% of operating profit, sheltered by tax goodwill from Chilean reorganizations and loss carry-forwards (Note 13), and will rise toward the 27% statutory rate. After capex and net interest, free cash flow before debt service was CLP 280bn, covering dividends 2.6x (Figure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38.6% jump in 1H26 operating cash flow is not earnings power: 59% of it was December collections unwinding through working capital. Receivable days fell from 66 to 50, with no sign of weaker collection.</w:t>
      </w:r>
    </w:p>
    <w:tbl>
      <w:tblPr>
        <w:tblpPr w:leftFromText="0" w:rightFromText="0" w:topFromText="0" w:bottomFromText="0" w:tblpX="7956" w:tblpY="47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10: </w:t>
            </w:r>
            <w:r>
              <w:rPr>
                <w:rFonts w:ascii="Arial" w:cs="Arial" w:eastAsia="Arial" w:hAnsi="Arial"/>
                <w:color w:val="14284B"/>
                <w:sz w:val="14"/>
                <w:szCs w:val="14"/>
              </w:rPr>
              <w:t xml:space="preserve">Social indicators.</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of promoters (scores 9–10) minus % of detractors (0–6). 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dividend policy pays out 40% of distributable profit with a one-year lag, so retained cash is high: CLP 171.6bn in 2025. In the base case, FFO rises from CLP 428.5bn in 2026E to CLP 501.6bn in 2031E and ordinary dividends from CLP 147.7bn to 172.6bn; the remaining cash, together with new debt, funds capex and the additional distributions (Appendix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Capex is stepping up. Contractual investment commitments rose to CLP 78bn at June 2026 from CLP 18bn in December 2025, and 1H26 property capex was CLP 81bn (+176%). The base case funds USD 445m of remaining pipeline over 2026–2028 and then keeps adding about 27,000 m² of GLA a year, the 2022–2025 organic pace, so capex settles near 16% of revenue rather than the 5.5% maintenance floor (Figure 19).</w:t>
      </w:r>
    </w:p>
    <w:p>
      <w:pPr>
        <w:keepNext/>
        <w:pBdr>
          <w:bottom w:val="single" w:color="E9004B" w:sz="8" w:space="1"/>
        </w:pBdr>
        <w:spacing w:after="50" w:before="110"/>
        <w:ind w:right="3766"/>
      </w:pPr>
      <w:r>
        <w:rPr>
          <w:rFonts w:ascii="Arial" w:cs="Arial" w:eastAsia="Arial" w:hAnsi="Arial"/>
          <w:b/>
          <w:bCs/>
          <w:color w:val="14284B"/>
          <w:sz w:val="16"/>
          <w:szCs w:val="16"/>
        </w:rPr>
        <w:t xml:space="preserve">Cash-flow metrics earn the AAA; equity-based ratios flatter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LTV fell from 26.9% to 18.8% in 2025, but 5.0pp of the 8.0pp drop came from revaluing the denominator; with property at 2024 value plus additions, LTV would have been 23.8% (Figure 17). Cash-flow metrics are the honest lens and support Feller Rate's upgrade to AAA (25 September 2026): net debt/EBITDA fell from 3.78x to 2.36x on June 2026 LTM EBITDA (the 2024 figure includes only one month of Peru), and EBITDA covers financial costs 8.4x.</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Gross debt of CLP 1,633bn is 79% UF, 14% PEN and 7% COP, matching revenue currencies; 95% is long term, with a 6.6-year duration. The UF bonds carry a 3.36% real coupon (3.48% effective), but with UF indexation the all-in nominal cost was about 7% in 2025. Maturities cluster in 2029, 2031 and 2033 (Figure 18); refinancing series S (1.32% effective) at the latest issue's 4.33% would add about CLP 4.9bn a year. Liquidity is ample: at June 2026 the current ratio was 2.50x and cash covered current liabilities 1.71x.</w:t>
      </w:r>
    </w:p>
    <w:tbl>
      <w:tblPr>
        <w:tblpPr w:leftFromText="0" w:rightFromText="0" w:topFromText="0" w:bottomFromText="0" w:tblpX="7956" w:tblpY="10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14: </w:t>
            </w:r>
            <w:r>
              <w:rPr>
                <w:rFonts w:ascii="Arial" w:cs="Arial" w:eastAsia="Arial" w:hAnsi="Arial"/>
                <w:color w:val="14284B"/>
                <w:sz w:val="14"/>
                <w:szCs w:val="14"/>
              </w:rPr>
              <w:t xml:space="preserve">Removing fair-value gains and non-cash items turns CLP 1,441bn of profit into CLP 408bn of FFO (CLP bn)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1.8tn cumulatively over 2H26E–2031E (Appendix 13). At 3.5x the new AAA would likely come under pressure.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10). Against peers the balance sheet is conservative: LTV of 18.8% versus 42.9% at Parque Arauco and 16.3% at Cencosud Shopping, and net debt/EBITDA of 2.49x versus 5.68x and 2.11x (Appendix 14).</w:t>
      </w:r>
    </w:p>
    <w:p>
      <w:pPr>
        <w:keepNext/>
        <w:pBdr>
          <w:bottom w:val="single" w:color="E9004B" w:sz="8" w:space="1"/>
        </w:pBdr>
        <w:spacing w:after="50" w:before="110"/>
        <w:ind w:right="3766"/>
      </w:pPr>
      <w:r>
        <w:rPr>
          <w:rFonts w:ascii="Arial" w:cs="Arial" w:eastAsia="Arial" w:hAnsi="Arial"/>
          <w:b/>
          <w:bCs/>
          <w:color w:val="14284B"/>
          <w:sz w:val="16"/>
          <w:szCs w:val="16"/>
        </w:rPr>
        <w:t xml:space="preserve">The forecast carries forward what history supports, including the pace of expansion</w:t>
      </w:r>
    </w:p>
    <w:tbl>
      <w:tblPr>
        <w:tblpPr w:leftFromText="0" w:rightFromText="0" w:topFromText="0" w:bottomFromText="0" w:tblpX="7956" w:tblpY="103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20: </w:t>
            </w:r>
            <w:r>
              <w:rPr>
                <w:rFonts w:ascii="Arial" w:cs="Arial" w:eastAsia="Arial" w:hAnsi="Arial"/>
                <w:color w:val="14284B"/>
                <w:sz w:val="14"/>
                <w:szCs w:val="14"/>
              </w:rPr>
              <w:t xml:space="preserve">No method justifies the current price (CLP per share)</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52-week intraday range (1-Oct-25 to 30-Sep-26; low 10-Oct-25, high 27-Apr-26). Source: Team analysis;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Revenue grows 7.7% in 2026E and 5.0% in 2031E (2026E–2031E CAGR 6.4%), as real same-store growth converges to the appraisal midpoints, 123,700 m² of dated pipeline matures and, from 2029E, about 27,000 m² a year opens at the historical pace (Figure 19); 2026E and 2027E revenue sit within 0.6% of consensus. EBITDA margin stays at 79.7–79.8%, below the 2025 peak. Cash tax normalizes from 16.8% to 27% by 2030E and financial costs rise with leverage, so FFO margin slides from 60.9% to 52.2%. Working capital is held at 15.6% of revenue, the December 2025 level (Appendix 9). New GLA yields 6.9% on cost, a 5.0% real return after tax against a 7.2% real WACC: expansion adds revenue but not value.</w:t>
      </w:r>
    </w:p>
    <w:p>
      <w:pPr>
        <w:keepNext/>
        <w:pBdr>
          <w:bottom w:val="single" w:color="E9004B" w:sz="8" w:space="1"/>
        </w:pBdr>
        <w:spacing w:after="50" w:before="110"/>
        <w:ind w:right="3766"/>
      </w:pPr>
      <w:r>
        <w:rPr>
          <w:rFonts w:ascii="Arial" w:cs="Arial" w:eastAsia="Arial" w:hAnsi="Arial"/>
          <w:b/>
          <w:bCs/>
          <w:color w:val="14284B"/>
          <w:sz w:val="16"/>
          <w:szCs w:val="16"/>
        </w:rPr>
        <w:t xml:space="preserve">What this means for valuation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analysis leaves three conclusions for the model. First, the right earnings base is cash: we use the company's EBITDA, which removes revaluation once (Appendix 12), and distributable profit as the anchor, not the CLP 1,431bn accounting profit. Second, business quality is not in doubt: Mallplaza earns the highest normalized ROE of its local peers (9.7% against 7.8% at Parque Arauco and 8.0% at Cencosud Shopping) with an LTV of only 18.8% (Appendix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Third, the return on capital at fair value is low. 2025 ROIC, with NOPAT at 27% over invested capital at appraised value, was 7.3% (Appendix 11), below a 10.4% nominal WACC: the properties are worth more on the books than their cash flows justify at our rate. At the current price, 2026E FFO of CLP 428.5bn yields 5.5% on market value (18x FFO) and distributable profit 4.9%: the market is paying for these cash flows as if they were almost risk-free. That is the gap the Valuation section quantifies. In short: a high-quality business, with predictable cash and a comfortable balance sheet, whose price already discounts more than those cash flows can deliver.</w:t>
      </w:r>
    </w:p>
    <w:p>
      <w:pPr>
        <w:keepNext/>
        <w:pBdr>
          <w:bottom w:val="single" w:color="14284B" w:sz="18" w:space="2"/>
        </w:pBdr>
        <w:spacing w:after="80" w:before="120"/>
        <w:ind w:right="3766"/>
      </w:pPr>
      <w:r>
        <w:rPr>
          <w:rFonts w:ascii="Arial" w:cs="Arial" w:eastAsia="Arial" w:hAnsi="Arial"/>
          <w:b/>
          <w:bCs/>
          <w:color w:val="14284B"/>
          <w:sz w:val="30"/>
          <w:szCs w:val="30"/>
        </w:rPr>
        <w:t xml:space="preserve">VALUATION</w:t>
      </w:r>
    </w:p>
    <w:tbl>
      <w:tblPr>
        <w:tblpPr w:leftFromText="0" w:rightFromText="0" w:topFromText="0" w:bottomFromText="0" w:tblpX="7956" w:tblpY="-50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15: </w:t>
            </w:r>
            <w:r>
              <w:rPr>
                <w:rFonts w:ascii="Arial" w:cs="Arial" w:eastAsia="Arial" w:hAnsi="Arial"/>
                <w:color w:val="14284B"/>
                <w:sz w:val="14"/>
                <w:szCs w:val="14"/>
              </w:rPr>
              <w:t xml:space="preserve">Two-thirds of 2025 growth was bought; in 1H26 currency and inflation explain more than half</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tc>
      </w:tr>
    </w:tbl>
    <w:p>
      <w:pPr>
        <w:keepNext w:val="false"/>
        <w:shd w:fill="EEF1F6" w:color="auto" w:val="clear"/>
        <w:spacing w:after="80" w:line="228" w:lineRule="auto"/>
        <w:ind w:right="3766"/>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A PRICE NO METHOD REACHES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twelve months the stock rose from CLP 2,470 to 4,700 and now trades at CLP 3,555. None of our methods reaches that price: the DCF ranges from CLP 1,379 to 2,329 even with WACC ±100 bp and g between 2.5% and 4.0% (nominal), and the most favourable multiples fall short too (Figure 20).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tbl>
      <w:tblPr>
        <w:tblpPr w:leftFromText="0" w:rightFromText="0" w:topFromText="0" w:bottomFromText="0" w:tblpX="7956" w:tblpY="56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16: </w:t>
            </w:r>
            <w:r>
              <w:rPr>
                <w:rFonts w:ascii="Arial" w:cs="Arial" w:eastAsia="Arial" w:hAnsi="Arial"/>
                <w:color w:val="14284B"/>
                <w:sz w:val="14"/>
                <w:szCs w:val="14"/>
              </w:rPr>
              <w:t xml:space="preserve">Free cash flow covers dividends 1.5–2.6x even as capex rises (FY2025, CLP bn)</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Figure 20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keepNext/>
        <w:pBdr>
          <w:bottom w:val="single" w:color="E9004B" w:sz="8" w:space="1"/>
        </w:pBdr>
        <w:spacing w:after="50" w:before="110"/>
        <w:ind w:right="3766"/>
      </w:pPr>
      <w:r>
        <w:rPr>
          <w:rFonts w:ascii="Arial" w:cs="Arial" w:eastAsia="Arial" w:hAnsi="Arial"/>
          <w:b/>
          <w:bCs/>
          <w:color w:val="14284B"/>
          <w:sz w:val="16"/>
          <w:szCs w:val="16"/>
        </w:rPr>
        <w:t xml:space="preserve">THE STORY IS IN THE RATE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project free cash flow to the firm in nominal CLP from 30-Jun-26, with an explicit horizon to 2031E and a terminal value that accounts for 76% of EV (Appendix 15). The CLP 1,857 per share is CLP 583 of explicit cash flows and CLP 1,884 of terminal value, less CLP 610 of debt and minorities: the result depends, above all, on the discount rate.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nominal Ke (8.67% real; Rf 4.98%, relevered beta of 1.14 from a six-peer median of 0.94, ERP 4.14% and a 1.41% revenue-weighted CRP) and a 5.11% nominal after-tax Kd based on the 3.6% real (UF) coupon of the latest bond (Appendix 19).</w:t>
      </w:r>
    </w:p>
    <w:tbl>
      <w:tblPr>
        <w:tblpPr w:leftFromText="0" w:rightFromText="0" w:topFromText="0" w:bottomFromText="0" w:tblpX="7956" w:tblpY="18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19: </w:t>
            </w:r>
            <w:r>
              <w:rPr>
                <w:rFonts w:ascii="Arial" w:cs="Arial" w:eastAsia="Arial" w:hAnsi="Arial"/>
                <w:color w:val="14284B"/>
                <w:sz w:val="14"/>
                <w:szCs w:val="14"/>
              </w:rPr>
              <w:t xml:space="preserve">After the pipeline, expansion keeps capex near CLP 150bn a year while leverage rebuilds to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includes CLP 84.2bn spent in 1H26; 2024A leverage includes one month of Peru EBITDA. Source: Plaza S.A. financial statements (CMF); 2Q26 results release (pipeline); valuation base case (Appendices 9 and 13).</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We build Ke in dollars because its three inputs are in that currency and are nominal: the US Treasury Rf, the implied equity risk premium published by Damodaran and country risk, which we weight by revenue. We then convert it to pesos with the gap between expected inflation in Chile (3.0%, the central bank's target) and in the US (2.24%, 10-year breakeven). The beta is unlevered with Hamada (six regional peers) and relevered each period (1.09 in 2H26E, 1.14 in the terminal period).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first signal is the asset IRR, what the business earns for whoever buys it at CLP 3,555 if our cash flows come true: 7.57% nominal (4.44% real in UF), 284 bp below its WACC and just ~80 bp real above its real cost of debt (Figure 21).</w:t>
      </w:r>
    </w:p>
    <w:p>
      <w:pPr>
        <w:keepNext/>
        <w:pBdr>
          <w:bottom w:val="single" w:color="E9004B" w:sz="8" w:space="1"/>
        </w:pBdr>
        <w:spacing w:after="50" w:before="110"/>
        <w:ind w:right="3766"/>
      </w:pPr>
      <w:r>
        <w:rPr>
          <w:rFonts w:ascii="Arial" w:cs="Arial" w:eastAsia="Arial" w:hAnsi="Arial"/>
          <w:b/>
          <w:bCs/>
          <w:color w:val="14284B"/>
          <w:sz w:val="16"/>
          <w:szCs w:val="16"/>
        </w:rPr>
        <w:t xml:space="preserve">GROWTH DOES NOT RESCUE THE PRICE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tbl>
      <w:tblPr>
        <w:tblpPr w:leftFromText="0" w:rightFromText="0" w:topFromText="0" w:bottomFromText="0" w:tblpX="7956" w:tblpY="146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17: </w:t>
            </w:r>
            <w:r>
              <w:rPr>
                <w:rFonts w:ascii="Arial" w:cs="Arial" w:eastAsia="Arial" w:hAnsi="Arial"/>
                <w:color w:val="14284B"/>
                <w:sz w:val="14"/>
                <w:szCs w:val="14"/>
              </w:rPr>
              <w:t xml:space="preserve">Two-thirds of the 2025 fall in LTV is revaluation, not deleveraging</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22; Appendix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Two assumptions deserve explanation. The cash tax rate starts at 16.8% because the company currently uses tax goodwill and loss carry-forwards; we assume those shields run off and the rate reaches 27% by 2030. It is a real cash saving (it lowers current tax), not accounting: CLP 61 per share undiscounted; without it the target falls 2.1% (Figure 22). And working capital grows with revenue, not with new m².</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problem is the return on growth. Each new m² yields 6.9% real pre-tax on cost, a 5.0% real RONIC after tax, below a 7.2% real WACC. The IRR of a new m², with capex, ramp, maintenance and working capital, is 4.62% real (7.76% nominal): 257 bp below the real WACC and 265 bp below the nominal one. Expansion adds revenue but not value, so terminal value grows only with inflation (g of 3.0% nominal, 0% real) and a higher g lowers value (Figure 23). Assuming more growth would not close the gap with the price; it would widen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w:t>
      </w:r>
    </w:p>
    <w:p>
      <w:pPr>
        <w:keepNext/>
        <w:pBdr>
          <w:bottom w:val="single" w:color="E9004B" w:sz="8" w:space="1"/>
        </w:pBdr>
        <w:spacing w:after="50" w:before="110"/>
        <w:ind w:right="3766"/>
      </w:pPr>
      <w:r>
        <w:rPr>
          <w:rFonts w:ascii="Arial" w:cs="Arial" w:eastAsia="Arial" w:hAnsi="Arial"/>
          <w:b/>
          <w:bCs/>
          <w:color w:val="14284B"/>
          <w:sz w:val="16"/>
          <w:szCs w:val="16"/>
        </w:rPr>
        <w:t xml:space="preserve">PEERS CONFIRM THE DIRECTION, NOT THE SIZE</w:t>
      </w:r>
    </w:p>
    <w:tbl>
      <w:tblPr>
        <w:tblpPr w:leftFromText="0" w:rightFromText="0" w:topFromText="0" w:bottomFromText="0" w:tblpX="7956" w:tblpY="26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18: </w:t>
            </w:r>
            <w:r>
              <w:rPr>
                <w:rFonts w:ascii="Arial" w:cs="Arial" w:eastAsia="Arial" w:hAnsi="Arial"/>
                <w:color w:val="14284B"/>
                <w:sz w:val="14"/>
                <w:szCs w:val="14"/>
              </w:rPr>
              <w:t xml:space="preserve">Refinancing risk sits in 2029, 2031 and 2033, not in the near term</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(EBITDA/EV yield; with UF-indexed rents it is compared with real rates) over the local rate is similar in both countries, 385 bp in Chile and 302 bp in Brazil (Figure 24).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17).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Macro explains the difference. At 30-Jun-26 Brazil had a 14.25% nominal Selic, a 14.34% nominal 10-year bond and 5.3% expected 2026 inflation, against a 4.5% nominal policy rate, a 5.43% nominal bond and 4.1% inflation in Chile, with similar real GDP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25): multiples confirm the stock is expensive, and the DCF sets the size of the gap. We exclude P/E (CLP 8,644), distorted by property revaluation.</w:t>
      </w:r>
    </w:p>
    <w:tbl>
      <w:tblPr>
        <w:tblpPr w:leftFromText="0" w:rightFromText="0" w:topFromText="0" w:bottomFromText="0" w:tblpX="795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21: </w:t>
            </w:r>
            <w:r>
              <w:rPr>
                <w:rFonts w:ascii="Arial" w:cs="Arial" w:eastAsia="Arial" w:hAnsi="Arial"/>
                <w:color w:val="14284B"/>
                <w:sz w:val="14"/>
                <w:szCs w:val="14"/>
              </w:rPr>
              <w:t xml:space="preserve">At CLP 3,555 the firm yields almost the same as its debt</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rates in UF. Source: Central Bank of Chile (30-Jun-26); Mallplaza;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keepNext/>
        <w:pBdr>
          <w:bottom w:val="single" w:color="E9004B" w:sz="8" w:space="1"/>
        </w:pBdr>
        <w:spacing w:after="50" w:before="110"/>
        <w:ind w:right="3766"/>
      </w:pPr>
      <w:r>
        <w:rPr>
          <w:rFonts w:ascii="Arial" w:cs="Arial" w:eastAsia="Arial" w:hAnsi="Arial"/>
          <w:b/>
          <w:bCs/>
          <w:color w:val="14284B"/>
          <w:sz w:val="16"/>
          <w:szCs w:val="16"/>
        </w:rPr>
        <w:t xml:space="preserve">WHAT THE MARKET WOULD HAVE TO BELIEVE</w:t>
      </w:r>
    </w:p>
    <w:tbl>
      <w:tblPr>
        <w:tblpPr w:leftFromText="0" w:rightFromText="0" w:topFromText="0" w:bottomFromText="0" w:tblpX="7956" w:tblpY="92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22: </w:t>
            </w:r>
            <w:r>
              <w:rPr>
                <w:rFonts w:ascii="Arial" w:cs="Arial" w:eastAsia="Arial" w:hAnsi="Arial"/>
                <w:color w:val="14284B"/>
                <w:sz w:val="14"/>
                <w:szCs w:val="14"/>
              </w:rPr>
              <w:t xml:space="preserve">With every strong assumption in its favor the target reaches CLP 2,928, still 18% below the price</w:t>
            </w:r>
          </w:p>
          <w:p>
            <w:pPr>
              <w:keepNext w:val="false"/>
              <w:spacing w:after="20" w:before="0" w:line="240" w:lineRule="auto"/>
              <w:jc w:val="center"/>
            </w:pPr>
            <w:r>
              <w:drawing>
                <wp:inline distT="0" distB="0" distL="0" distR="0">
                  <wp:extent cx="1143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4300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Cumulative waterfall in the order shown; the table gives each assumption on its own. Target price = 80% DCF + 20% multiples. Source: v3 DCF replica;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price implies an EV of CLP 9.12 trillion, 69% above ours, and a real 6.0% cap rate, against 10.1% in our DCF, 6.4% for Chilean peers and 7.5% at book value (Figure 26). The market pays 1.61x an equity base already at fair value, appraised at a real discount rate of ~5.55% (Note 11); the real IRR the price leaves, 4.4%, is below that rate: it pays more than the appraisers themselves. To justify CLP 3,555, the nominal WACC would have to be 285 bp lower (7.56%; Figure 27); even at the appraisers' rate (5.55% real, 8.72% nominal), the DCF would be CLP 2,660.</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pushed the thesis to its extremes. In a bear case (nominal WACC +100 bp and the 75.8% quarterly-low margin) the target falls to CLP 1,713; in a bull case combining nominal WACC −100 bp, nominal g of 2.5%, the 81.3% quarterly-peak margin and the cut in corporate tax to 23%, it rises to CLP 2,627, still 26% below the price. APV (CLP 1,894), a peso-bond Rf (~CLP 2,439) and other debt targets (DCF of CLP 1,819 to 1,894) lead to the same conclusion (Appendix 18). The firm's IRR at the market price barely moves across scenarios (7.3%, 7.6% and 7.9% nominal in bear, base and bull; 4.2%, 4.4% and 4.7% real) and always stays below each one's WACC (409, 284 and 152 bp nominal): even the bull case leaves no margin of safety.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the nominal peso bond (5.43%) and then adding country risk would count Chile risk twice, and even so the target price would only rise to ~CLP 2,439, 31% below the price. In other words, no reasonable choice of inputs rescues the current valuation; the gap is too wide to be a modelling artefact.</w:t>
      </w:r>
    </w:p>
    <w:tbl>
      <w:tblPr>
        <w:tblpPr w:leftFromText="0" w:rightFromText="0" w:topFromText="0" w:bottomFromText="0" w:tblpX="7956" w:tblpY="55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Growing below the WACC destroys value: real g = 0%</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Top: DCF value by g. Bottom: relative terminal value by RONIC. Source: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brings us to CLP 2,076 (80% × 1,857 + 20% × 2,951): 10.8x EBITDA, a real 9.3% cap rate and 0.94x book value. Rolling the DCF to 30-Sep-26 would lift it to ~CLP 2,118 without changing the call. The catalyst is the same force behind the thesis: with the nominal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What we will watch: the Note 11 appraisal at each reporting date (the real discount rate is the bridge between our value and book), the spread of the company's UF bonds over their 3.6% real coupon (at the latest issue's 4.33% real effective rate, the nominal WACC would rise 12 bp and the target would fall to CLP 2,042), the cut in corporate tax to 23% (+5.1% on the target, not yet included) and the AAA rating, which would likely come under pressure at 3.5x net debt/EBITDA. In short, the operating story is sound; it is the price of that story that no longer adds up.</w:t>
      </w:r>
    </w:p>
    <w:p>
      <w:pPr>
        <w:keepNext w:val="false"/>
        <w:spacing w:before="12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Chile and Brazil charge the same premium: multiples differ because of rates</w:t>
            </w:r>
          </w:p>
          <w:p>
            <w:pPr>
              <w:keepNext w:val="false"/>
              <w:spacing w:after="20" w:before="0" w:line="240" w:lineRule="auto"/>
              <w:jc w:val="center"/>
            </w:pPr>
            <w:r>
              <w:drawing>
                <wp:inline distT="0" distB="0" distL="0" distR="0">
                  <wp:extent cx="26003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600325"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bond: 10Y UF (Central Bank of Chile) and NTN-B 2035 (8.08%) at 30-Jun-26. Spread = cap rate (1 / EV/EBITDA) − real bond. IRSA omitted (IAS 29). Source: Bloomberg; Central Bank of Chile; Team analysis.</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Value implied by each peer's multiple vs DCF and price (CLP per share)</w:t>
            </w:r>
          </w:p>
          <w:p>
            <w:pPr>
              <w:keepNext w:val="false"/>
              <w:spacing w:after="20" w:before="0" w:line="240" w:lineRule="auto"/>
              <w:jc w:val="center"/>
            </w:pPr>
            <w:r>
              <w:drawing>
                <wp:inline distT="0" distB="0" distL="0" distR="0">
                  <wp:extent cx="3009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0099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Target = 80% DCF + 20% EV/EBITDA LTM. P/E excluded (includes revaluation). Source: Bloomberg (30-Sep-26); Team analysis.</w:t>
            </w:r>
          </w:p>
        </w:tc>
      </w:tr>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The market pays 6.0%; our cash flows are worth 10.1%</w:t>
            </w:r>
          </w:p>
          <w:p>
            <w:pPr>
              <w:keepNext w:val="false"/>
              <w:spacing w:after="20" w:before="0" w:line="240" w:lineRule="auto"/>
              <w:jc w:val="center"/>
            </w:pPr>
            <w:r>
              <w:drawing>
                <wp:inline distT="0" distB="0" distL="0" distR="0">
                  <wp:extent cx="35814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581400" cy="23241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Gran Plaza: subsequent event, not in the model. Source: Mallplaza; Bloomberg; DF; Team analysis.</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The price requires a nominal WACC 285 bp lower</w:t>
            </w:r>
          </w:p>
          <w:p>
            <w:pPr>
              <w:keepNext w:val="false"/>
              <w:spacing w:after="20" w:before="0" w:line="240" w:lineRule="auto"/>
              <w:jc w:val="center"/>
            </w:pPr>
            <w:r>
              <w:drawing>
                <wp:inline distT="0" distB="0" distL="0" distR="0">
                  <wp:extent cx="33528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528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Team analysis.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INVESTMENT RISKS</w:t>
      </w:r>
    </w:p>
    <w:p>
      <w:pPr>
        <w:keepNext w:val="false"/>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RISK ASSESSMENT</w:t>
            </w:r>
          </w:p>
          <w:p>
            <w:pPr>
              <w:keepNext w:val="false"/>
              <w:spacing w:after="40" w:before="0" w:line="228" w:lineRule="auto"/>
              <w:jc w:val="both"/>
            </w:pPr>
            <w:r>
              <w:rPr>
                <w:rFonts w:ascii="Arial" w:cs="Arial" w:eastAsia="Arial" w:hAnsi="Arial"/>
                <w:color w:val="1A1A1A"/>
                <w:sz w:val="16"/>
                <w:szCs w:val="16"/>
              </w:rPr>
              <w:t xml:space="preserve">Figure 28 classifies each risk by likelihood and by its impact on value per share (Figures 29 to 26). Risks that could not be quantified are classified according to the team's qualitative analysis of the company.</w:t>
            </w:r>
          </w:p>
          <w:p>
            <w:pPr>
              <w:keepNext w:val="false"/>
              <w:pBdr>
                <w:bottom w:val="single" w:color="E9004B" w:sz="8" w:space="1"/>
              </w:pBdr>
              <w:spacing w:after="50" w:before="110"/>
            </w:pPr>
            <w:r>
              <w:rPr>
                <w:rFonts w:ascii="Arial" w:cs="Arial" w:eastAsia="Arial" w:hAnsi="Arial"/>
                <w:b/>
                <w:bCs/>
                <w:color w:val="14284B"/>
                <w:sz w:val="16"/>
                <w:szCs w:val="16"/>
              </w:rPr>
              <w:t xml:space="preserve">OPERATIONAL RISKS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29). </w:t>
            </w:r>
            <w:r>
              <w:rPr>
                <w:rFonts w:ascii="Arial" w:cs="Arial" w:eastAsia="Arial" w:hAnsi="Arial"/>
                <w:i/>
                <w:iCs/>
                <w:color w:val="5F5F5F"/>
                <w:sz w:val="16"/>
                <w:szCs w:val="16"/>
              </w:rPr>
              <w:t xml:space="preserve">(Non‑systematic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29). </w:t>
            </w:r>
            <w:r>
              <w:rPr>
                <w:rFonts w:ascii="Arial" w:cs="Arial" w:eastAsia="Arial" w:hAnsi="Arial"/>
                <w:i/>
                <w:iCs/>
                <w:color w:val="5F5F5F"/>
                <w:sz w:val="16"/>
                <w:szCs w:val="16"/>
              </w:rPr>
              <w:t xml:space="preserve">(Non‑systematic · Low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keepNext w:val="false"/>
              <w:pBdr>
                <w:bottom w:val="single" w:color="E9004B" w:sz="8" w:space="1"/>
              </w:pBdr>
              <w:spacing w:after="50" w:before="110"/>
            </w:pPr>
            <w:r>
              <w:rPr>
                <w:rFonts w:ascii="Arial" w:cs="Arial" w:eastAsia="Arial" w:hAnsi="Arial"/>
                <w:b/>
                <w:bCs/>
                <w:color w:val="14284B"/>
                <w:sz w:val="16"/>
                <w:szCs w:val="16"/>
              </w:rPr>
              <w:t xml:space="preserve">FINANCIAL RISKS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30). </w:t>
            </w:r>
            <w:r>
              <w:rPr>
                <w:rFonts w:ascii="Arial" w:cs="Arial" w:eastAsia="Arial" w:hAnsi="Arial"/>
                <w:i/>
                <w:iCs/>
                <w:color w:val="5F5F5F"/>
                <w:sz w:val="16"/>
                <w:szCs w:val="16"/>
              </w:rPr>
              <w:t xml:space="preserve">(Systematic · High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keepNext w:val="false"/>
              <w:pBdr>
                <w:bottom w:val="single" w:color="E9004B" w:sz="8" w:space="1"/>
              </w:pBdr>
              <w:spacing w:after="50" w:before="110"/>
            </w:pPr>
            <w:r>
              <w:rPr>
                <w:rFonts w:ascii="Arial" w:cs="Arial" w:eastAsia="Arial" w:hAnsi="Arial"/>
                <w:b/>
                <w:bCs/>
                <w:color w:val="14284B"/>
                <w:sz w:val="16"/>
                <w:szCs w:val="16"/>
              </w:rPr>
              <w:t xml:space="preserve">MARKET &amp; MACROECONOMIC RISKS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slightly positive: indexed rents add CLP 40.8 per share and the higher UF debt subtracts 17.7, a net +23.1 (+1.1%) (Figure 31). The risk is that weaker consumption prevents passing the UF through to rents: without that pass-through, UF +3% takes 0.9% off the target price. Weaker consumption also slows the new business lines (Appendix 20). </w:t>
            </w:r>
            <w:r>
              <w:rPr>
                <w:rFonts w:ascii="Arial" w:cs="Arial" w:eastAsia="Arial" w:hAnsi="Arial"/>
                <w:i/>
                <w:iCs/>
                <w:color w:val="5F5F5F"/>
                <w:sz w:val="16"/>
                <w:szCs w:val="16"/>
              </w:rPr>
              <w:t xml:space="preserve">(Systematic · High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29). </w:t>
            </w:r>
            <w:r>
              <w:rPr>
                <w:rFonts w:ascii="Arial" w:cs="Arial" w:eastAsia="Arial" w:hAnsi="Arial"/>
                <w:i/>
                <w:iCs/>
                <w:color w:val="5F5F5F"/>
                <w:sz w:val="16"/>
                <w:szCs w:val="16"/>
              </w:rPr>
              <w:t xml:space="preserve">(Systematic · Low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keepNext w:val="false"/>
              <w:pBdr>
                <w:bottom w:val="single" w:color="E9004B" w:sz="8" w:space="1"/>
              </w:pBdr>
              <w:spacing w:after="50" w:before="110"/>
            </w:pPr>
            <w:r>
              <w:rPr>
                <w:rFonts w:ascii="Arial" w:cs="Arial" w:eastAsia="Arial" w:hAnsi="Arial"/>
                <w:b/>
                <w:bCs/>
                <w:color w:val="14284B"/>
                <w:sz w:val="16"/>
                <w:szCs w:val="16"/>
              </w:rPr>
              <w:t xml:space="preserve">REGULATORY &amp; ESG RISKS</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Risk matrix</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Background colour = severity (likelihood × impact). Source: Team analysis.</w:t>
            </w:r>
          </w:p>
          <w:p>
            <w:pPr>
              <w:keepNext w:val="false"/>
              <w:spacing w:after="30" w:before="10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Operational risk tornado (CLP per share)</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keepNext w:val="false"/>
              <w:spacing w:after="30" w:before="10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Target price sensitivity: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keepNext w:val="false"/>
              <w:spacing w:after="30" w:before="10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Target price sensitivity to a rise in the UF (CLP per share)</w:t>
            </w:r>
          </w:p>
          <w:p>
            <w:pPr>
              <w:keepNext w:val="false"/>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2763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UF level shock from 2027E; WACC and g constant. Debt: net UF exposure from Note 26. Earnings: +3% reported; +1% and +2% extrapolated. Source: financial statements Jun-26, Note 26; Team analysis.</w:t>
            </w:r>
          </w:p>
        </w:tc>
      </w:tr>
    </w:tbl>
    <w:p>
      <w:pPr>
        <w:keepNext w:val="false"/>
        <w:spacing w:before="16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1506"/>
      </w:tblGrid>
      <w:tr>
        <w:trPr>
          <w:cantSplit/>
        </w:trPr>
        <w:tc>
          <w:tcPr>
            <w:tcW w:type="dxa" w:w="1150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INVESTMENT SUMMARY</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7740"/>
              <w:gridCol w:w="216"/>
              <w:gridCol w:w="3550"/>
            </w:tblGrid>
            <w:tr>
              <w:tc>
                <w:tcPr>
                  <w:tcW w:type="dxa" w:w="774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TO BE WRITTEN</w:t>
                  </w:r>
                </w:p>
                <w:p>
                  <w:pPr>
                    <w:keepNext w:val="false"/>
                    <w:spacing w:after="60"/>
                  </w:pPr>
                  <w:r>
                    <w:rPr>
                      <w:rFonts w:ascii="Arial" w:cs="Arial" w:eastAsia="Arial" w:hAnsi="Arial"/>
                      <w:i/>
                      <w:iCs/>
                      <w:color w:val="5F5F5F"/>
                      <w:sz w:val="16"/>
                      <w:szCs w:val="16"/>
                    </w:rPr>
                    <w:t xml:space="preserve">Recommendation and target price · Investment thesis · Valuation summary · Catalysts · Key risks.</w:t>
                  </w:r>
                </w:p>
                <w:p>
                  <w:pPr>
                    <w:keepNext w:val="false"/>
                    <w:spacing w:after="60"/>
                  </w:pPr>
                  <w:r>
                    <w:rPr>
                      <w:rFonts w:ascii="Arial" w:cs="Arial" w:eastAsia="Arial" w:hAnsi="Arial"/>
                      <w:i/>
                      <w:iCs/>
                      <w:color w:val="5F5F5F"/>
                      <w:sz w:val="16"/>
                      <w:szCs w:val="16"/>
                    </w:rPr>
                    <w:t xml:space="preserve">Section to be written by the team; the key data on the right already come from the models.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KEY DATA</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Recommendation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SELL</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Target price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Price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Upside / downside</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value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weight</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cap (CLP bn)</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52-week range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Expected dividend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Net debt / LTM EBITDA 2Q26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Source: valuation model v2; Bloomberg (52-week range); Team analysis.</w:t>
                  </w:r>
                </w:p>
              </w:tc>
            </w:tr>
          </w:tbl>
          <w:p>
            <w:pPr>
              <w:keepNext w:val="false"/>
            </w:pPr>
          </w:p>
        </w:tc>
      </w:tr>
    </w:tbl>
    <w:p>
      <w:pPr>
        <w:sectPr>
          <w:footerReference w:type="default" r:id="rId7"/>
          <w:type w:val="nextPage"/>
          <w:pgSz w:w="11906" w:h="16838" w:orient="portrait"/>
          <w:pgMar w:top="200" w:right="200" w:bottom="420" w:left="200" w:header="0" w:footer="12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APPENDICES: 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1: </w:t>
            </w:r>
            <w:r>
              <w:rPr>
                <w:rFonts w:ascii="Arial" w:cs="Arial" w:eastAsia="Arial" w:hAnsi="Arial"/>
                <w:color w:val="14284B"/>
                <w:sz w:val="14"/>
                <w:szCs w:val="14"/>
              </w:rPr>
              <w:t xml:space="preserve">Tier A assets by GLA, 2Q26 (thousand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(p.12). Tier A = 46.4% of total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2: </w:t>
            </w:r>
            <w:r>
              <w:rPr>
                <w:rFonts w:ascii="Arial" w:cs="Arial" w:eastAsia="Arial" w:hAnsi="Arial"/>
                <w:color w:val="14284B"/>
                <w:sz w:val="14"/>
                <w:szCs w:val="14"/>
              </w:rPr>
              <w:t xml:space="preserve">Department stores, % of total GLA</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INDUSTRY OVERVIEW AND COMPETITIVE POSITIONING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3: </w:t>
            </w:r>
            <w:r>
              <w:rPr>
                <w:rFonts w:ascii="Arial" w:cs="Arial" w:eastAsia="Arial" w:hAnsi="Arial"/>
                <w:color w:val="14284B"/>
                <w:sz w:val="14"/>
                <w:szCs w:val="14"/>
              </w:rPr>
              <w:t xml:space="preserve">GLA pipeline 2026-2028: organic vs acquisitions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2Q26 reports and 2025 Annual Report; Parque Arauco Investor Presentation 2Q26; Cenco Malls Corporate Presentation 2Q26. Dated projects only.</w:t>
            </w:r>
          </w:p>
          <w:p>
            <w:pPr>
              <w:keepNext w:val="false"/>
              <w:keepLines/>
              <w:spacing w:after="20" w:before="90" w:line="240" w:lineRule="auto"/>
            </w:pPr>
            <w:r>
              <w:rPr>
                <w:rFonts w:ascii="Arial" w:cs="Arial" w:eastAsia="Arial" w:hAnsi="Arial"/>
                <w:b/>
                <w:bCs/>
                <w:color w:val="14284B"/>
                <w:sz w:val="14"/>
                <w:szCs w:val="14"/>
              </w:rPr>
              <w:t xml:space="preserve">Appendix 5: </w:t>
            </w:r>
            <w:r>
              <w:rPr>
                <w:rFonts w:ascii="Arial" w:cs="Arial" w:eastAsia="Arial" w:hAnsi="Arial"/>
                <w:color w:val="14284B"/>
                <w:sz w:val="14"/>
                <w:szCs w:val="14"/>
              </w:rPr>
              <w:t xml:space="preserve">Market share within the trio in Chile, 2Q22-2Q26 (% of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4: </w:t>
            </w:r>
            <w:r>
              <w:rPr>
                <w:rFonts w:ascii="Arial" w:cs="Arial" w:eastAsia="Arial" w:hAnsi="Arial"/>
                <w:color w:val="14284B"/>
                <w:sz w:val="14"/>
                <w:szCs w:val="14"/>
              </w:rPr>
              <w:t xml:space="preserve">Consolidated occupancy rate, 2Q22-2Q26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Each company defines occupancy differently; Mallplaza includes Open Plaza since 2Q25.</w:t>
            </w:r>
          </w:p>
        </w:tc>
      </w:tr>
    </w:tbl>
    <w:p>
      <w:pPr>
        <w:keepNext w:val="false"/>
        <w:spacing w:after="30" w:before="140" w:line="228" w:lineRule="auto"/>
      </w:pPr>
      <w:r>
        <w:rPr>
          <w:rFonts w:ascii="Arial" w:cs="Arial" w:eastAsia="Arial" w:hAnsi="Arial"/>
          <w:b/>
          <w:bCs/>
          <w:color w:val="14284B"/>
          <w:sz w:val="14"/>
          <w:szCs w:val="14"/>
        </w:rPr>
        <w:t xml:space="preserve">Appendix 6: </w:t>
      </w:r>
      <w:r>
        <w:rPr>
          <w:rFonts w:ascii="Arial" w:cs="Arial" w:eastAsia="Arial" w:hAnsi="Arial"/>
          <w:color w:val="14284B"/>
          <w:sz w:val="14"/>
          <w:szCs w:val="14"/>
        </w:rPr>
        <w:t xml:space="preserve">Porter's five forces by country and key evidence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Force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Peru</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Key evidence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Rivalry</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race to reinvest in experience; asset acquisitions (Minka, Plaza Central; Quilín and Chicureo announced); supply above consumption in 2027-28. Stable shares and margins of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New entrants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Capital-intensive (USD 613 million for 170,200 m² at Mallplaza); incumbents' land banks; Peru and Colombia less concentrated; most malls in Colombia are strata-titled (multi-owner).</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Bargaining power of tenants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occupancy 96-99%; average lease terms of 5.0-8.7 years; top 5 = 18% of Mallplaza revenue; Chile SSR above CPI (6.9% vs 4.8%, 1Q23-2Q26); department stores 19.0% of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Bargaining power of suppliers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Common-area expenses passed through to tenants (2025 Annual Report, note 2.20); cost of sales 6.2% of Mallplaza revenue.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Substitutes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of Mallplaza rental income is fixed; 2Q26 visits +4.4% Chile, +1.3% Peru, +2.5% Colombia; shift toward experience. No official e-commerce data by country.</w:t>
            </w:r>
          </w:p>
        </w:tc>
      </w:tr>
    </w:tbl>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1-5 scale in whole numbers; final score = weighted average by Mallplaza GLA as of 2Q26 (Chile 61.9%, Peru 26.2%, Colombia 11.9%), rounded to the nearest integer. For new entrants, the weighted score sits at the threshold (1.5) and the team sets it at 2 given lower barriers to entry in Peru and Colombia. Detail and sources for each data point in Porter_industria_2Q26.xlsx.</w:t>
      </w:r>
    </w:p>
    <w:p>
      <w:pPr>
        <w:keepNext w:val="false"/>
        <w:spacing w:after="30" w:before="140" w:line="228" w:lineRule="auto"/>
      </w:pPr>
      <w:r>
        <w:rPr>
          <w:rFonts w:ascii="Arial" w:cs="Arial" w:eastAsia="Arial" w:hAnsi="Arial"/>
          <w:b/>
          <w:bCs/>
          <w:color w:val="14284B"/>
          <w:sz w:val="14"/>
          <w:szCs w:val="14"/>
        </w:rPr>
        <w:t xml:space="preserve">Appendix 7: </w:t>
      </w:r>
      <w:r>
        <w:rPr>
          <w:rFonts w:ascii="Arial" w:cs="Arial" w:eastAsia="Arial" w:hAnsi="Arial"/>
          <w:color w:val="14284B"/>
          <w:sz w:val="14"/>
          <w:szCs w:val="14"/>
        </w:rPr>
        <w:t xml:space="preserve">Key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Topic</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Measured by GLA (not by sales) across the main operators in each country (slide 7, Institutional Presentation 2Q26). Partial HHI: it is a floor.</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Only projects with dates in official reports as of 2Q26 and the 2025 Annual Report; for date ranges, the end of the range is used; acquisitions are not new supply for the industry.</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Supply vs demand</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only and only consumption-dependent m² (excludes offices and multifamily); base GLA excludes Cenco's offices. Private consumption from the Sep-2026 IPoM is used as a demand indicator, not as a sales forecast.</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per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as defined by each company (none includes IAS 40 revaluation gains); 2Q26 EBITDA not annualized; consolidated GLA at 100% of controlled assets.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Leases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Profile and term weighted by GLA: explicit for Cenco and in Parque Arauco's profile; assumption for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sales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tenant sales 2Q26 vs 2Q25 deflated by 12-month CPI as of June 2026 (4.3%; INE, release dated July 8, 2026). Cenco 2Q25 calculated from its published change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Dates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Company data as of June 30, 2026; macro projections from the September 2026 IPoM, as the most recent available.</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APPENDIX 8: CORPORATE GOVERNANCE AND SUSTAINABILITY</w:t>
      </w:r>
    </w:p>
    <w:p>
      <w:pPr>
        <w:keepNext w:val="false"/>
        <w:shd w:fill="EEF1F6" w:color="auto" w:val="clear"/>
        <w:spacing w:after="80" w:line="228" w:lineRule="auto"/>
        <w:jc w:val="both"/>
      </w:pPr>
      <w:r>
        <w:rPr>
          <w:rFonts w:ascii="Arial" w:cs="Arial" w:eastAsia="Arial" w:hAnsi="Arial"/>
          <w:color w:val="1A1A1A"/>
          <w:sz w:val="16"/>
          <w:szCs w:val="16"/>
        </w:rPr>
        <w:t xml:space="preserve">Supporting information for the ESG section: ownership structure, Board of Directors, compliance, stakeholder engagement model, organisational culture and waste. Main source: Mallplaza Annual Report 2025.</w:t>
      </w:r>
    </w:p>
    <w:p>
      <w:pPr>
        <w:keepNext w:val="false"/>
        <w:pBdr>
          <w:bottom w:val="single" w:color="E9004B" w:sz="8" w:space="1"/>
        </w:pBdr>
        <w:spacing w:after="50" w:before="60"/>
      </w:pPr>
      <w:r>
        <w:rPr>
          <w:rFonts w:ascii="Arial" w:cs="Arial" w:eastAsia="Arial" w:hAnsi="Arial"/>
          <w:b/>
          <w:bCs/>
          <w:color w:val="14284B"/>
          <w:sz w:val="16"/>
          <w:szCs w:val="16"/>
        </w:rPr>
        <w:t xml:space="preserve">1. OWNERSHIP STRUCTURE (31-DEC-2025)</w:t>
      </w:r>
    </w:p>
    <w:p>
      <w:pPr>
        <w:keepNext w:val="false"/>
        <w:spacing w:after="30" w:before="20" w:line="228" w:lineRule="auto"/>
      </w:pPr>
      <w:r>
        <w:rPr>
          <w:rFonts w:ascii="Arial" w:cs="Arial" w:eastAsia="Arial" w:hAnsi="Arial"/>
          <w:b/>
          <w:bCs/>
          <w:color w:val="14284B"/>
          <w:sz w:val="14"/>
          <w:szCs w:val="14"/>
        </w:rPr>
        <w:t xml:space="preserve">Figure 8.1: </w:t>
      </w:r>
      <w:r>
        <w:rPr>
          <w:rFonts w:ascii="Arial" w:cs="Arial" w:eastAsia="Arial" w:hAnsi="Arial"/>
          <w:color w:val="14284B"/>
          <w:sz w:val="14"/>
          <w:szCs w:val="14"/>
        </w:rPr>
        <w:t xml:space="preserve">Shareholding by type of shareholder</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 (NCG 461 2.3.3). No ADRs or certificates issued abroad.</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 largest shareholders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Shares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of shares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53.10%</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Santiago Stock Exchange</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on behalf of foreign investors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BOARD OF DIRECTORS (ELECTED 22-APR-2025)</w:t>
      </w:r>
    </w:p>
    <w:p>
      <w:pPr>
        <w:keepNext w:val="false"/>
        <w:spacing w:after="30" w:before="20" w:line="228" w:lineRule="auto"/>
      </w:pPr>
      <w:r>
        <w:rPr>
          <w:rFonts w:ascii="Arial" w:cs="Arial" w:eastAsia="Arial" w:hAnsi="Arial"/>
          <w:b/>
          <w:bCs/>
          <w:color w:val="14284B"/>
          <w:sz w:val="14"/>
          <w:szCs w:val="14"/>
        </w:rPr>
        <w:t xml:space="preserve">Figure 8.2: </w:t>
      </w:r>
      <w:r>
        <w:rPr>
          <w:rFonts w:ascii="Arial" w:cs="Arial" w:eastAsia="Arial" w:hAnsi="Arial"/>
          <w:color w:val="14284B"/>
          <w:sz w:val="14"/>
          <w:szCs w:val="14"/>
        </w:rPr>
        <w:t xml:space="preserve">Board members (red: independent director; blue: chairman)</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full members, no alternates; one independent director. Each director holds at most four positions in other listed companies. Tomás Müller, Manuela Sánchez and Juan Pablo Montero were directors until 22-Apr-2025.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3. ETHICS AND COMPLIANCE,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Matter</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Cases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Corruption</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customer rights (Consumer Protection Law 19,496)</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employee rights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Proceedings by the Environment Superintendency</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Complaints of workplace, sexual harassment and violence at work</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4. STAKEHOLDER ENGAGEMENT MODEL</w:t>
      </w:r>
    </w:p>
    <w:p>
      <w:pPr>
        <w:keepNext w:val="false"/>
        <w:spacing w:after="30" w:before="20" w:line="228" w:lineRule="auto"/>
      </w:pPr>
      <w:r>
        <w:rPr>
          <w:rFonts w:ascii="Arial" w:cs="Arial" w:eastAsia="Arial" w:hAnsi="Arial"/>
          <w:b/>
          <w:bCs/>
          <w:color w:val="14284B"/>
          <w:sz w:val="14"/>
          <w:szCs w:val="14"/>
        </w:rPr>
        <w:t xml:space="preserve">Figure 8.3: </w:t>
      </w:r>
      <w:r>
        <w:rPr>
          <w:rFonts w:ascii="Arial" w:cs="Arial" w:eastAsia="Arial" w:hAnsi="Arial"/>
          <w:color w:val="14284B"/>
          <w:sz w:val="14"/>
          <w:szCs w:val="14"/>
        </w:rPr>
        <w:t xml:space="preserve">Implementation process of the engagement model</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5. ORGANISATIONAL CULTURE: 2025 CULTURE SURVEY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2025 target: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Leadership</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Participation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Leadership (88%) is the main asset to leverage the strategy.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6. WASTE,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Figure 8.4: </w:t>
            </w:r>
            <w:r>
              <w:rPr>
                <w:rFonts w:ascii="Arial" w:cs="Arial" w:eastAsia="Arial" w:hAnsi="Arial"/>
                <w:color w:val="14284B"/>
                <w:sz w:val="14"/>
                <w:szCs w:val="14"/>
              </w:rPr>
              <w:t xml:space="preserve">Waste generation by country</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tonnes</w:t>
            </w:r>
            <w:r>
              <w:rPr>
                <w:rFonts w:ascii="Arial" w:cs="Arial" w:eastAsia="Arial" w:hAnsi="Arial"/>
                <w:color w:val="1A1A1A"/>
                <w:sz w:val="16"/>
                <w:szCs w:val="16"/>
              </w:rPr>
              <w:t xml:space="preserve"> of waste across the region: 76% in Chile, 16% in Colombia and 7% in Peru.</w:t>
            </w:r>
          </w:p>
          <w:p>
            <w:pPr>
              <w:keepNext w:val="false"/>
              <w:spacing w:after="80" w:before="0" w:line="228" w:lineRule="auto"/>
              <w:jc w:val="both"/>
            </w:pPr>
            <w:r>
              <w:rPr>
                <w:rFonts w:ascii="Arial" w:cs="Arial" w:eastAsia="Arial" w:hAnsi="Arial"/>
                <w:b/>
                <w:bCs/>
                <w:color w:val="14284B"/>
                <w:sz w:val="16"/>
                <w:szCs w:val="16"/>
              </w:rPr>
              <w:t xml:space="preserve">46.2% recovered:</w:t>
            </w:r>
            <w:r>
              <w:rPr>
                <w:rFonts w:ascii="Arial" w:cs="Arial" w:eastAsia="Arial" w:hAnsi="Arial"/>
                <w:color w:val="1A1A1A"/>
                <w:sz w:val="16"/>
                <w:szCs w:val="16"/>
              </w:rPr>
              <w:t xml:space="preserve"> 14,987.57 t of non-hazardous waste went to energy recovery through biogas (40.4%), recycling (36.1%) and composting (23.5%); the rest went to disposal, mainly sanitary landfills.</w:t>
            </w:r>
          </w:p>
          <w:p>
            <w:pPr>
              <w:keepNext w:val="false"/>
              <w:spacing w:after="80" w:before="0" w:line="228" w:lineRule="auto"/>
              <w:jc w:val="both"/>
            </w:pPr>
            <w:r>
              <w:rPr>
                <w:rFonts w:ascii="Arial" w:cs="Arial" w:eastAsia="Arial" w:hAnsi="Arial"/>
                <w:b/>
                <w:bCs/>
                <w:color w:val="14284B"/>
                <w:sz w:val="16"/>
                <w:szCs w:val="16"/>
              </w:rPr>
              <w:t xml:space="preserve">Hazardous waste:</w:t>
            </w:r>
            <w:r>
              <w:rPr>
                <w:rFonts w:ascii="Arial" w:cs="Arial" w:eastAsia="Arial" w:hAnsi="Arial"/>
                <w:color w:val="1A1A1A"/>
                <w:sz w:val="16"/>
                <w:szCs w:val="16"/>
              </w:rPr>
              <w:t xml:space="preserve"> 9.03 t, a marginal amount given the nature of the business.</w:t>
            </w:r>
          </w:p>
        </w:tc>
      </w:tr>
    </w:tbl>
    <w:p>
      <w:pPr>
        <w:keepNext w:val="false"/>
        <w:pBdr>
          <w:bottom w:val="single" w:color="E9004B" w:sz="8" w:space="1"/>
        </w:pBdr>
        <w:spacing w:after="50" w:before="160"/>
      </w:pPr>
      <w:r>
        <w:rPr>
          <w:rFonts w:ascii="Arial" w:cs="Arial" w:eastAsia="Arial" w:hAnsi="Arial"/>
          <w:b/>
          <w:bCs/>
          <w:color w:val="14284B"/>
          <w:sz w:val="16"/>
          <w:szCs w:val="16"/>
        </w:rPr>
        <w:t xml:space="preserve">7. ESG RISK MATRIX</w:t>
      </w:r>
    </w:p>
    <w:p>
      <w:pPr>
        <w:keepNext w:val="false"/>
        <w:spacing w:after="30" w:before="20" w:line="228" w:lineRule="auto"/>
      </w:pPr>
      <w:r>
        <w:rPr>
          <w:rFonts w:ascii="Arial" w:cs="Arial" w:eastAsia="Arial" w:hAnsi="Arial"/>
          <w:b/>
          <w:bCs/>
          <w:color w:val="14284B"/>
          <w:sz w:val="14"/>
          <w:szCs w:val="14"/>
        </w:rPr>
        <w:t xml:space="preserve">Figure 8.5: </w:t>
      </w:r>
      <w:r>
        <w:rPr>
          <w:rFonts w:ascii="Arial" w:cs="Arial" w:eastAsia="Arial" w:hAnsi="Arial"/>
          <w:color w:val="14284B"/>
          <w:sz w:val="14"/>
          <w:szCs w:val="14"/>
        </w:rPr>
        <w:t xml:space="preserve">ESG factor matrix and its effect on the investment case</w:t>
      </w:r>
    </w:p>
    <w:p>
      <w:pPr>
        <w:keepNext w:val="false"/>
        <w:spacing w:after="20" w:before="0" w:line="240" w:lineRule="auto"/>
      </w:pPr>
      <w:r>
        <w:drawing>
          <wp:inline distT="0" distB="0" distL="0" distR="0">
            <wp:extent cx="6772275"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772275" cy="46196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Materiality, time horizon, ability to absorb losses and net effect are team assessments. Framework adapted from S&amp;P Global Ratings' approach to ESG credit factors. Source: Mallplaza Annual Report 2025, Bloomberg, MSCI, Sustainalytics, S&amp;P Global; Team analysis.</w:t>
      </w:r>
    </w:p>
    <w:p>
      <w:pPr>
        <w:keepNext w:val="false"/>
        <w:pBdr>
          <w:bottom w:val="single" w:color="E9004B" w:sz="8" w:space="1"/>
        </w:pBdr>
        <w:spacing w:after="50" w:before="160"/>
      </w:pPr>
      <w:r>
        <w:rPr>
          <w:rFonts w:ascii="Arial" w:cs="Arial" w:eastAsia="Arial" w:hAnsi="Arial"/>
          <w:b/>
          <w:bCs/>
          <w:color w:val="14284B"/>
          <w:sz w:val="16"/>
          <w:szCs w:val="16"/>
        </w:rPr>
        <w:t xml:space="preserve">8. EXECUTIVE TEAM TRACK RECORD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2300"/>
        <w:gridCol w:w="1000"/>
        <w:gridCol w:w="2000"/>
        <w:gridCol w:w="34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Name</w:t>
            </w:r>
          </w:p>
        </w:tc>
        <w:tc>
          <w:tcPr>
            <w:tcW w:type="dxa" w:w="23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Role at PLAZA</w:t>
            </w:r>
          </w:p>
        </w:tc>
        <w:tc>
          <w:tcPr>
            <w:tcW w:type="dxa" w:w="1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Tenure</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Previous experience</w:t>
            </w:r>
          </w:p>
        </w:tc>
        <w:tc>
          <w:tcPr>
            <w:tcW w:type="dxa" w:w="34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Profile and responsibilities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Pablo Pulido Sierra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CEO (since 2026)</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10 years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Grupo Casino, Grupo Éxito</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Commercial profile; experience in regional integrations.</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Fernando de Peña Iver</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CEO (until 2025)</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35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Led the company until 2025; extensive career in Latin American retail.</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Derek Schweitzer Tang</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Administration and Finance Officer (CFO)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Since 2023</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BRMalls</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International experience; his area leads the financial structure and the entry into global indices (MSCI).</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Carlos Honorato C.</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CTO, Chief Technology Officer</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Ripley.com, Neoris, Alto Movup, ProChile</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modernizing omnichannel sales and corporate cybersecurity.</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María Sol de Cabo</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People and Culture Officer</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Since 2025</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Betterfly</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Over 20 years of international experience in talent management.</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Oscar Munizaga Delfín</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Development and Business Officer</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34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growth through M&amp;A and greenfield developments.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Luis Hernán Silva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Legal, Risk and Compliance Officer</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27 years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corporate legal affairs and risk and compliance management.</w:t>
            </w:r>
          </w:p>
        </w:tc>
      </w:tr>
    </w:tbl>
    <w:p>
      <w:pPr>
        <w:keepNext w:val="false"/>
        <w:spacing w:after="0" w:before="10" w:line="216" w:lineRule="auto"/>
      </w:pPr>
      <w:r>
        <w:rPr>
          <w:rFonts w:ascii="Arial" w:cs="Arial" w:eastAsia="Arial" w:hAnsi="Arial"/>
          <w:color w:val="5F5F5F"/>
          <w:sz w:val="11"/>
          <w:szCs w:val="11"/>
        </w:rPr>
        <w:t xml:space="preserve">Source: company public information; Team notes (track record).</w:t>
      </w:r>
    </w:p>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FINANCIAL ANALYSIS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9: </w:t>
            </w:r>
            <w:r>
              <w:rPr>
                <w:rFonts w:ascii="Arial" w:cs="Arial" w:eastAsia="Arial" w:hAnsi="Arial"/>
                <w:color w:val="14284B"/>
                <w:sz w:val="14"/>
                <w:szCs w:val="14"/>
              </w:rPr>
              <w:t xml:space="preserve">Forecast assumptions (nominal CLP,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Driver</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Assumption</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Basis</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2026E anchor</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actual + 2H26E repeating 1H26 local-currency growth (Chile 6.1%, Peru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Interim FS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Inflation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CPI 2026–28; central-bank targets from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Leases indexed to UF/CPI</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Real same-store growth (ex-parking)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Peru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Midpoints of company appraisal ranges (Note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Occupancy</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Colombia 97.5% flat; Peru 93.8% → 94.6% by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actual; Peru back to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of 2026 revenue; real growth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(LTM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Pipeline GLA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projects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Post-2028 expansion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 year opening from 2029E (55% Chile / 45% Peru); USD 3,603/m² indexed to CPI, spent 50% in t−2 and 50% in t−1; 80.9% EBITDA margin; 6.9% yield on cost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Average organic GLA 2022, 2023, 2025; pipeline cost per m²</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year-end 2026–28; purchasing-power parity thereafter</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 Oct 2026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EBITDA margin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Peru 82%, Colombia 74% (≈ 79.7% consolidated)</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2024–LTM 2Q26; 2025 peak not extrapolated</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of revenue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LTM 2Q26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Cash tax rate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current tax; shields run off</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Project capex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445m remaining at Jun-26, spread to final opening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Maintenance + IT capex</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of revenue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LTM 2Q26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Working capital</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operating working capital at 15.6% of revenue (Dec-25); 2026E covers 2H26E only</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FS Dec-25, first year-end with full Peru</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Leverage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debt / EBITDA 2.36x (Jun-26) → 3.5x by Dec-31E, linear; cash above the plan returned via buybacks or special dividends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Team assumption; peers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 of debt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financial cost 3.08% of opening net debt + 25bp real per turn of leverage above 2.36x; UF indexation on 79% of debt</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annualized; team assumption</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Excluded</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0.7m LTM vs 55.2m in 2023), Gran Plaza; undated Chile projects replaced by the post-2028 expansion</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No date or immaterial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of distributable profit, one-year lag, plus the additional distributions above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Board policy (Note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reported · C team calculation · S team assumption · P market consensus. Source: Plaza S.A. financial statements (CMF); 2Q26 results release; Bloomberg ECFC;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10: </w:t>
            </w:r>
            <w:r>
              <w:rPr>
                <w:rFonts w:ascii="Arial" w:cs="Arial" w:eastAsia="Arial" w:hAnsi="Arial"/>
                <w:color w:val="14284B"/>
                <w:sz w:val="14"/>
                <w:szCs w:val="14"/>
              </w:rPr>
              <w:t xml:space="preserve">Summary financial statements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Income statement</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(company definition)</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Fair-value gains &amp; other op. items, net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income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financial cost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UF indexation of debt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Net income attributable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attributable (company)</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 sheet</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and equivalents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Investment property</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assets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Gross financial debt</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Deferred tax liabilities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Equity attributable to owners</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Cash flow</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cash flow</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Acquisitions incl. minorities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Equity issued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borrowing / (repayment)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paid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Dividends paid</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LTM = FY2025 − 1H25 + 1H26. 2024 as restated in Dec-25; 2022A from restated Dec-23 statements; 2022 financing lines not in the files used. Source: Plaza S.A. financial statements (CMF) Dec-24, Dec-25,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11: </w:t>
            </w:r>
            <w:r>
              <w:rPr>
                <w:rFonts w:ascii="Arial" w:cs="Arial" w:eastAsia="Arial" w:hAnsi="Arial"/>
                <w:color w:val="14284B"/>
                <w:sz w:val="14"/>
                <w:szCs w:val="14"/>
              </w:rPr>
              <w:t xml:space="preserve">Ratio dashboard</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at 27%, IC at fair value)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Current ratio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 current liabilities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liabilities / equity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(net debt / inv. property)</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financial costs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costs / revenue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Receivable days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Jun-26 leverage on LTM EBITDA; operating costs = cost of sales + admin (1H26). Dec-24 receivable days n.m. (Peru consolidated one month). Jun-26 returns need the Jun-25 balance sheet. Source: Plaza S.A. financial statements (CMF); MD&amp;A 1H26; Team analysis.</w:t>
            </w:r>
          </w:p>
          <w:p>
            <w:pPr>
              <w:keepNext w:val="false"/>
              <w:spacing w:after="30" w:before="100" w:line="228" w:lineRule="auto"/>
            </w:pPr>
            <w:r>
              <w:rPr>
                <w:rFonts w:ascii="Arial" w:cs="Arial" w:eastAsia="Arial" w:hAnsi="Arial"/>
                <w:b/>
                <w:bCs/>
                <w:color w:val="14284B"/>
                <w:sz w:val="14"/>
                <w:szCs w:val="14"/>
              </w:rPr>
              <w:t xml:space="preserve">Appendix 12: </w:t>
            </w:r>
            <w:r>
              <w:rPr>
                <w:rFonts w:ascii="Arial" w:cs="Arial" w:eastAsia="Arial" w:hAnsi="Arial"/>
                <w:color w:val="14284B"/>
                <w:sz w:val="14"/>
                <w:szCs w:val="14"/>
              </w:rPr>
              <w:t xml:space="preserve">The EBITDA we use is the company's: fair-value gains are removed once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income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income (mostly fair value)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expenses (non-recurring)</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adjusted</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Check vs company EBITDA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Bloomberg's EBITDA field includes fair-value gains and is not used. Source: Plaza S.A. financial statements (CMF), Notes 23.1–23.3; 2Q26 release;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13: </w:t>
            </w:r>
            <w:r>
              <w:rPr>
                <w:rFonts w:ascii="Arial" w:cs="Arial" w:eastAsia="Arial" w:hAnsi="Arial"/>
                <w:color w:val="14284B"/>
                <w:sz w:val="14"/>
                <w:szCs w:val="14"/>
              </w:rPr>
              <w:t xml:space="preserve">Base-case projection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Peru</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Eliminations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post-2028 expansion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Revenue</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Growth</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tax rate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maintenance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post-2028 expansion</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working capital</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Ordinary dividends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Additional distributions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1H26 actual + 2H26E; capex includes CLP 84.2bn spent in 1H26; Δ working capital and additional distributions cover 2H26E only. FFO = (EBITDA − net financial cost) × (1 − cash tax), before minorities (~1%); distributable profit = FFO − UF indexation. Source: valuation workbook v2 (DCF, Deuda and Expansion sheets); Team analysis.</w:t>
            </w:r>
          </w:p>
          <w:p>
            <w:pPr>
              <w:keepNext w:val="false"/>
              <w:spacing w:after="30" w:before="100" w:line="228" w:lineRule="auto"/>
            </w:pPr>
            <w:r>
              <w:rPr>
                <w:rFonts w:ascii="Arial" w:cs="Arial" w:eastAsia="Arial" w:hAnsi="Arial"/>
                <w:b/>
                <w:bCs/>
                <w:color w:val="14284B"/>
                <w:sz w:val="14"/>
                <w:szCs w:val="14"/>
              </w:rPr>
              <w:t xml:space="preserve">Appendix 14: </w:t>
            </w:r>
            <w:r>
              <w:rPr>
                <w:rFonts w:ascii="Arial" w:cs="Arial" w:eastAsia="Arial" w:hAnsi="Arial"/>
                <w:color w:val="14284B"/>
                <w:sz w:val="14"/>
                <w:szCs w:val="14"/>
              </w:rPr>
              <w:t xml:space="preserve">Like-for-like, Mallplaza earns the highest normalized ROE of its local peers (FY2025)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Fair-value gain / opening property</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investment property</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attributable, YE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normalized on audited distributable profit; peers on net income − fair-value gains × (1 − 27%). Parque Arauco property excludes JVs, overstating its LTV. Source: Plaza S.A. financial statements (CMF); Bloomberg FA as-reported (PARAUCO CI, CENCOMAL CI; export 28 Sep 2026); Team analysis.</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APPENDIX 15: DISCOUNTED CASH FLOW</w:t>
      </w:r>
    </w:p>
    <w:p>
      <w:pPr>
        <w:keepNext w:val="false"/>
        <w:shd w:fill="EEF1F6" w:color="auto" w:val="clear"/>
        <w:spacing w:after="40" w:line="216" w:lineRule="auto"/>
        <w:jc w:val="both"/>
      </w:pPr>
      <w:r>
        <w:rPr>
          <w:rFonts w:ascii="Arial" w:cs="Arial" w:eastAsia="Arial" w:hAnsi="Arial"/>
          <w:color w:val="1A1A1A"/>
          <w:sz w:val="15"/>
          <w:szCs w:val="15"/>
        </w:rPr>
        <w:t xml:space="preserve">FCFF in nominal CLP from 30-Jun-26, with the mid-period convention and each period's WACC (Appendix 19). Terminal value uses 2032E FCFF with 3.0% nominal g (0% real, no reinvestment because RONIC is below the real WACC) and the 10.41% terminal WACC, and includes 108,301 m² of GLA maturing after 2031. It accounts for 76% of EV.</w:t>
      </w:r>
    </w:p>
    <w:p>
      <w:pPr>
        <w:keepNext w:val="false"/>
        <w:pBdr>
          <w:bottom w:val="single" w:color="E9004B" w:sz="8" w:space="1"/>
        </w:pBdr>
        <w:spacing w:after="50" w:before="80"/>
      </w:pPr>
      <w:r>
        <w:rPr>
          <w:rFonts w:ascii="Arial" w:cs="Arial" w:eastAsia="Arial" w:hAnsi="Arial"/>
          <w:b/>
          <w:bCs/>
          <w:color w:val="14284B"/>
          <w:sz w:val="16"/>
          <w:szCs w:val="16"/>
        </w:rPr>
        <w:t xml:space="preserve">A. FREE CASH FLOW TO THE FIRM BY PERIOD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capex (pipeline + maintenance)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capex / terminal reinvestment</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Investment in working capital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of the period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Discount factor (mid-period)</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FCFF / of terminal value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FROM ENTERPRISE VALUE TO VALUE PER 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Item</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million</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explicit FCFF (2H26E–2031E)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terminal value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Enterprise value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Net financial debt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Minorities (book)</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Equity value / per share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DCF VALUE SENSITIVITY (CLP/SHARE)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bp</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Terminal value at 31-Dec-31: CLP 7,133,037 million (implied cap rate 10.1%; implied LTM EV/EBITDA 9.9x). 2H26E: half year. Source: model v2, DCF and Sensibilidad sheets; 2,190 million shares.</w:t>
      </w:r>
    </w:p>
    <w:p>
      <w:pPr>
        <w:keepNext w:val="false"/>
        <w:pBdr>
          <w:bottom w:val="single" w:color="14284B" w:sz="18" w:space="2"/>
        </w:pBdr>
        <w:spacing w:after="80" w:before="260"/>
      </w:pPr>
      <w:r>
        <w:rPr>
          <w:rFonts w:ascii="Arial" w:cs="Arial" w:eastAsia="Arial" w:hAnsi="Arial"/>
          <w:b/>
          <w:bCs/>
          <w:color w:val="14284B"/>
          <w:sz w:val="30"/>
          <w:szCs w:val="30"/>
        </w:rPr>
        <w:t xml:space="preserve">APPENDIX 16: FORECAST ASSUMPTIONS</w:t>
      </w:r>
    </w:p>
    <w:p>
      <w:pPr>
        <w:keepNext w:val="false"/>
        <w:shd w:fill="EEF1F6" w:color="auto" w:val="clear"/>
        <w:spacing w:after="40" w:line="216" w:lineRule="auto"/>
        <w:jc w:val="both"/>
      </w:pPr>
      <w:r>
        <w:rPr>
          <w:rFonts w:ascii="Arial" w:cs="Arial" w:eastAsia="Arial" w:hAnsi="Arial"/>
          <w:color w:val="1A1A1A"/>
          <w:sz w:val="15"/>
          <w:szCs w:val="15"/>
        </w:rPr>
        <w:t xml:space="preserve">The base forecast follows the team's operating engine (announced pipeline to 2028); from 2029 a continuous expansion is added at the historical opening pace. 2026E revenue is calendar-year; the 2H26E period deducts actual 1H26 (CLP 339,530 million of revenue).</w:t>
      </w:r>
    </w:p>
    <w:p>
      <w:pPr>
        <w:keepNext w:val="false"/>
        <w:pBdr>
          <w:bottom w:val="single" w:color="E9004B" w:sz="8" w:space="1"/>
        </w:pBdr>
        <w:spacing w:after="50" w:before="80"/>
      </w:pPr>
      <w:r>
        <w:rPr>
          <w:rFonts w:ascii="Arial" w:cs="Arial" w:eastAsia="Arial" w:hAnsi="Arial"/>
          <w:b/>
          <w:bCs/>
          <w:color w:val="14284B"/>
          <w:sz w:val="16"/>
          <w:szCs w:val="16"/>
        </w:rPr>
        <w:t xml:space="preserve">A. REVENUE, CAPEX AND WORKING CAPITAL FORECAST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revenue (calendar year)</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 growth</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Continuous-expansion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EBITDA margin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on projects under way (USD million)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Average USDCLP</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on projects under way</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 (5.5% of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Total base capex</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Continuous-expansion capex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cost per m² (CLP million, CPI)</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Investment in working capital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CONTINUOUS EXPANSION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per year from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Basis: organic average 2022, 2023 and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under way (2Q26 release)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million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 per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disbursement</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in t−2 / 50% in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Revenue ramp (year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Peru mix;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real after-tax RONIC</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OPERATIONS, CAPITAL AND TERMINAL VALUE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2Q26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of revenue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revenue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working capital / revenue (Dec-25)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Receivables / advance rents (Dec-25, CLP million)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(real) terminal g</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Target net debt/EBITDA; real Kd per turn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in 2031; +25 bp</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on distributable income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Source: model v2, Forecast_Base, Expansion, Capital_Trabajo and Supuestos sheets (2Q26 release; Dec-25 financial statements; Exhibits v6).</w:t>
      </w:r>
    </w:p>
    <w:p>
      <w:pPr>
        <w:keepNext w:val="false"/>
        <w:pBdr>
          <w:bottom w:val="single" w:color="14284B" w:sz="18" w:space="2"/>
        </w:pBdr>
        <w:spacing w:after="80" w:before="0"/>
      </w:pPr>
      <w:r>
        <w:rPr>
          <w:rFonts w:ascii="Arial" w:cs="Arial" w:eastAsia="Arial" w:hAnsi="Arial"/>
          <w:b/>
          <w:bCs/>
          <w:color w:val="14284B"/>
          <w:sz w:val="30"/>
          <w:szCs w:val="30"/>
        </w:rPr>
        <w:t xml:space="preserve">APPENDIX 17: COMPARABLE MULTIPLES</w:t>
      </w:r>
    </w:p>
    <w:p>
      <w:pPr>
        <w:keepNext w:val="false"/>
        <w:shd w:fill="EEF1F6" w:color="auto" w:val="clear"/>
        <w:spacing w:after="40" w:line="216" w:lineRule="auto"/>
        <w:jc w:val="both"/>
      </w:pPr>
      <w:r>
        <w:rPr>
          <w:rFonts w:ascii="Arial" w:cs="Arial" w:eastAsia="Arial" w:hAnsi="Arial"/>
          <w:color w:val="1A1A1A"/>
          <w:sz w:val="15"/>
          <w:szCs w:val="15"/>
        </w:rPr>
        <w:t xml:space="preserve">We use the same peer set as the WACC beta. LTM EV/EBITDA is the main method (neutral to leverage and to IAS 40 revaluation); the multiple weights the Chilean median at 70% and the common-set median at 30%. P/E and P/BV mix fair-value and cost-basis peers: reference only. Price at 30-Sep-26; Bloomberg net debt and FX at 30-Jun-26.</w:t>
      </w:r>
    </w:p>
    <w:p>
      <w:pPr>
        <w:keepNext w:val="false"/>
        <w:pBdr>
          <w:bottom w:val="single" w:color="E9004B" w:sz="8" w:space="1"/>
        </w:pBdr>
        <w:spacing w:after="50" w:before="80"/>
      </w:pPr>
      <w:r>
        <w:rPr>
          <w:rFonts w:ascii="Arial" w:cs="Arial" w:eastAsia="Arial" w:hAnsi="Arial"/>
          <w:b/>
          <w:bCs/>
          <w:color w:val="14284B"/>
          <w:sz w:val="16"/>
          <w:szCs w:val="16"/>
        </w:rPr>
        <w:t xml:space="preserve">A. PEERS (CLP MILLION; MULTIPLES IN TIMES)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EBITDA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LTM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LTM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LTM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(excluded)</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Common-set median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median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VALUE BY MULTIPLE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Multiple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Weighted</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Metric (CLP mn)</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LTM (main)</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LTM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LTM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SENSITIVITY TO THE WEIGHTING</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Chile weight</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Multiple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 value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Bridge: 14.36x × LTM EBITDA of CLP 544,935 million = EV 7,825,944 − Bloomberg net debt 1,311,569 − minorities 50,841 = CLP 2,951 per share (2,190 million shares). Fibra Danhos is excluded for its FIBRA regime and because it has no beta in the WACC; IRSA reports under IAS 29. Source: Bloomberg; model v2, Comparables and Precio_Objetivo sheets;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APPENDIX 18: SCENARIOS AND ROBUSTNESS</w:t>
      </w:r>
    </w:p>
    <w:p>
      <w:pPr>
        <w:keepNext w:val="false"/>
        <w:shd w:fill="EEF1F6" w:color="auto" w:val="clear"/>
        <w:spacing w:after="40" w:line="216" w:lineRule="auto"/>
        <w:jc w:val="both"/>
      </w:pPr>
      <w:r>
        <w:rPr>
          <w:rFonts w:ascii="Arial" w:cs="Arial" w:eastAsia="Arial" w:hAnsi="Arial"/>
          <w:color w:val="1A1A1A"/>
          <w:sz w:val="15"/>
          <w:szCs w:val="15"/>
        </w:rPr>
        <w:t xml:space="preserve">No scenario or alternative method reaches the CLP 3,555 price. Scenarios are computed with the DCF v2 replica (which reproduces the base value exactly), and the target keeps the 80% DCF weight and the CLP 2,951 multiples value.</w:t>
      </w:r>
    </w:p>
    <w:p>
      <w:pPr>
        <w:keepNext w:val="false"/>
        <w:pBdr>
          <w:bottom w:val="single" w:color="E9004B" w:sz="8" w:space="1"/>
        </w:pBdr>
        <w:spacing w:after="50" w:before="80"/>
      </w:pPr>
      <w:r>
        <w:rPr>
          <w:rFonts w:ascii="Arial" w:cs="Arial" w:eastAsia="Arial" w:hAnsi="Arial"/>
          <w:b/>
          <w:bCs/>
          <w:color w:val="14284B"/>
          <w:sz w:val="16"/>
          <w:szCs w:val="16"/>
        </w:rPr>
        <w:t xml:space="preserve">A. 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bp in every period; EBITDA margin 75.8% (historical low) instead of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 v2: WACC 10.54% → 10.41%; g 3.0%; margin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bp; g 2.5%; margin 81.3% (historical high); cash tax capped at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Appraisers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8.72% (5.55% real, Note 11) in every period</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ALTERNATIVE METHODS AND INPUTS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Test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unlevered value</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tax shields of debt</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per share</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peso bond 5.43% (WACC −107 bp)</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constant WACC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implied by the price: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DEBT TARGET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ND/EBITDA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bp</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(current)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and bull: EBITDA margin at the historical low/high (4Q23 and 3Q25 earnings releases) in every year; the bull case does not recompute the WACC tax shield. Source: DCF v2 replica (riesgos/graficos/tornado_operacional.py); model v2, APV, Sensibilidad (table 2, static) and DCF sheets; Figuras_Valuacion, WACC_Construccion and V6.</w:t>
      </w:r>
    </w:p>
    <w:p>
      <w:pPr>
        <w:keepNext w:val="false"/>
        <w:pBdr>
          <w:bottom w:val="single" w:color="14284B" w:sz="18" w:space="2"/>
        </w:pBdr>
        <w:spacing w:after="80" w:before="0"/>
      </w:pPr>
      <w:r>
        <w:rPr>
          <w:rFonts w:ascii="Arial" w:cs="Arial" w:eastAsia="Arial" w:hAnsi="Arial"/>
          <w:b/>
          <w:bCs/>
          <w:color w:val="14284B"/>
          <w:sz w:val="30"/>
          <w:szCs w:val="30"/>
        </w:rPr>
        <w:t xml:space="preserve">APPENDIX 19: WACC CONSTRUCTION</w:t>
      </w:r>
    </w:p>
    <w:p>
      <w:pPr>
        <w:keepNext w:val="false"/>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weighted CRP</w:t>
      </w:r>
    </w:p>
    <w:p>
      <w:pPr>
        <w:keepNext w:val="false"/>
        <w:spacing w:after="10"/>
        <w:ind w:left="240"/>
      </w:pPr>
      <w:r>
        <w:rPr>
          <w:rFonts w:ascii="Arial" w:cs="Arial" w:eastAsia="Arial" w:hAnsi="Arial"/>
          <w:b/>
          <w:bCs/>
          <w:color w:val="14284B"/>
          <w:sz w:val="14"/>
          <w:szCs w:val="14"/>
        </w:rPr>
        <w:t xml:space="preserve">Ke CLP = (1 + Ke USD) × (1 + π Chile) / (1 + π US) − 1</w:t>
      </w:r>
    </w:p>
    <w:p>
      <w:pPr>
        <w:keepNext w:val="false"/>
        <w:spacing w:after="10"/>
        <w:ind w:left="240"/>
      </w:pPr>
      <w:r>
        <w:rPr>
          <w:rFonts w:ascii="Arial" w:cs="Arial" w:eastAsia="Arial" w:hAnsi="Arial"/>
          <w:b/>
          <w:bCs/>
          <w:color w:val="14284B"/>
          <w:sz w:val="14"/>
          <w:szCs w:val="14"/>
        </w:rPr>
        <w:t xml:space="preserve">Kd CLP = (1 + real Kd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keepNext w:val="false"/>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Figure 19.1: </w:t>
            </w:r>
            <w:r>
              <w:rPr>
                <w:rFonts w:ascii="Arial" w:cs="Arial" w:eastAsia="Arial" w:hAnsi="Arial"/>
                <w:color w:val="14284B"/>
                <w:sz w:val="14"/>
                <w:szCs w:val="14"/>
              </w:rPr>
              <w:t xml:space="preserve">Nominal WACC and D/E by period</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keepNext w:val="false"/>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keepNext w:val="false"/>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APPENDIX 20: MACROECONOMIC AND GEOPOLITICAL BACKDROP</w:t>
      </w:r>
    </w:p>
    <w:p>
      <w:pPr>
        <w:keepNext w:val="false"/>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Sep-26 average</w:t>
            </w:r>
          </w:p>
          <w:p>
            <w:pPr>
              <w:keepNext w:val="false"/>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10Y UST, 8-Oct-26</w:t>
            </w:r>
          </w:p>
          <w:p>
            <w:pPr>
              <w:keepNext w:val="false"/>
              <w:spacing w:after="0" w:line="216" w:lineRule="auto"/>
            </w:pPr>
            <w:r>
              <w:rPr>
                <w:rFonts w:ascii="Arial" w:cs="Arial" w:eastAsia="Arial" w:hAnsi="Arial"/>
                <w:color w:val="5F5F5F"/>
                <w:sz w:val="12"/>
                <w:szCs w:val="12"/>
              </w:rPr>
              <w:t xml:space="preserve">24-year high (since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bp</w:t>
            </w:r>
          </w:p>
          <w:p>
            <w:pPr>
              <w:keepNext w:val="false"/>
              <w:spacing w:after="10" w:line="216" w:lineRule="auto"/>
            </w:pPr>
            <w:r>
              <w:rPr>
                <w:rFonts w:ascii="Arial" w:cs="Arial" w:eastAsia="Arial" w:hAnsi="Arial"/>
                <w:b/>
                <w:bCs/>
                <w:color w:val="14284B"/>
                <w:sz w:val="13"/>
                <w:szCs w:val="13"/>
              </w:rPr>
              <w:t xml:space="preserve">France–Germany spread</w:t>
            </w:r>
          </w:p>
          <w:p>
            <w:pPr>
              <w:keepNext w:val="false"/>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IMF 2026: GDP | inflation</w:t>
            </w:r>
          </w:p>
          <w:p>
            <w:pPr>
              <w:keepNext w:val="false"/>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Chile 2026 GDP (BCCh)</w:t>
            </w:r>
          </w:p>
          <w:p>
            <w:pPr>
              <w:keepNext w:val="false"/>
              <w:spacing w:after="0" w:line="216" w:lineRule="auto"/>
            </w:pPr>
            <w:r>
              <w:rPr>
                <w:rFonts w:ascii="Arial" w:cs="Arial" w:eastAsia="Arial" w:hAnsi="Arial"/>
                <w:color w:val="5F5F5F"/>
                <w:sz w:val="12"/>
                <w:szCs w:val="12"/>
              </w:rPr>
              <w:t xml:space="preserve">down from 2–3% expected in Dec-25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keepNext w:val="false"/>
        <w:spacing w:after="30" w:before="40" w:line="228" w:lineRule="auto"/>
      </w:pPr>
      <w:r>
        <w:rPr>
          <w:rFonts w:ascii="Arial" w:cs="Arial" w:eastAsia="Arial" w:hAnsi="Arial"/>
          <w:b/>
          <w:bCs/>
          <w:color w:val="14284B"/>
          <w:sz w:val="14"/>
          <w:szCs w:val="14"/>
        </w:rPr>
        <w:t xml:space="preserve">Figure 20.1: </w:t>
      </w:r>
      <w:r>
        <w:rPr>
          <w:rFonts w:ascii="Arial" w:cs="Arial" w:eastAsia="Arial" w:hAnsi="Arial"/>
          <w:color w:val="14284B"/>
          <w:sz w:val="14"/>
          <w:szCs w:val="14"/>
        </w:rPr>
        <w:t xml:space="preserve">Transmission map: from global shocks to Mallplaza's risks</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Team analysis; figures from Figures 29–31 of the report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20.2: </w:t>
            </w:r>
            <w:r>
              <w:rPr>
                <w:rFonts w:ascii="Arial" w:cs="Arial" w:eastAsia="Arial" w:hAnsi="Arial"/>
                <w:color w:val="14284B"/>
                <w:sz w:val="14"/>
                <w:szCs w:val="14"/>
              </w:rPr>
              <w:t xml:space="preserve">Brent crude oil price, 2022–2026 (USD/barrel)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keepNext w:val="false"/>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20.3: </w:t>
            </w:r>
            <w:r>
              <w:rPr>
                <w:rFonts w:ascii="Arial" w:cs="Arial" w:eastAsia="Arial" w:hAnsi="Arial"/>
                <w:color w:val="14284B"/>
                <w:sz w:val="14"/>
                <w:szCs w:val="14"/>
              </w:rPr>
              <w:t xml:space="preserve">10-year sovereign yields,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a 24-year high; the Bund went from −0.1% to 3.6%. Fiscal deficits push up the risk-free rate, and Chile has followed the move since mid-2026.</w:t>
            </w:r>
          </w:p>
          <w:p>
            <w:pPr>
              <w:keepNext w:val="false"/>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20.4: </w:t>
            </w:r>
            <w:r>
              <w:rPr>
                <w:rFonts w:ascii="Arial" w:cs="Arial" w:eastAsia="Arial" w:hAnsi="Arial"/>
                <w:color w:val="14284B"/>
                <w:sz w:val="14"/>
                <w:szCs w:val="14"/>
              </w:rPr>
              <w:t xml:space="preserve">10-year spreads: France–Germany and Chile–US (bp)</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keepNext w:val="false"/>
              <w:spacing w:after="0" w:before="10" w:line="216" w:lineRule="auto"/>
            </w:pPr>
            <w:r>
              <w:rPr>
                <w:rFonts w:ascii="Arial" w:cs="Arial" w:eastAsia="Arial" w:hAnsi="Arial"/>
                <w:color w:val="5F5F5F"/>
                <w:sz w:val="11"/>
                <w:szCs w:val="11"/>
              </w:rPr>
              <w:t xml:space="preserve">Source: Team calculation with Figure 20.3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20.5: </w:t>
            </w:r>
            <w:r>
              <w:rPr>
                <w:rFonts w:ascii="Arial" w:cs="Arial" w:eastAsia="Arial" w:hAnsi="Arial"/>
                <w:color w:val="14284B"/>
                <w:sz w:val="14"/>
                <w:szCs w:val="14"/>
              </w:rPr>
              <w:t xml:space="preserve">World growth and inflation,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keepNext w:val="false"/>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20.6: </w:t>
            </w:r>
            <w:r>
              <w:rPr>
                <w:rFonts w:ascii="Arial" w:cs="Arial" w:eastAsia="Arial" w:hAnsi="Arial"/>
                <w:color w:val="14284B"/>
                <w:sz w:val="14"/>
                <w:szCs w:val="14"/>
              </w:rPr>
              <w:t xml:space="preserve">Chile: GDP, inflation and policy rate,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keepNext w:val="false"/>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keepNext w:val="false"/>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of earnings (Fig. 31)</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bp = target price −12.3% (Fig. 30)</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traffic −1.3% / +2.4% of value (Fig. 29)</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bp: target price from CLP 2,076 to ~1,940 (Fig. 30)</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footfall and sales; pressure on occupancy (Fig. 29)</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10.41% terminal nominal WACC (10.54% in 2H26E); with the 10Y UST above 5.2% in October, the bias on the discount rate is upward, which reinforces the recommendation.</w:t>
      </w:r>
    </w:p>
    <w:sectPr>
      <w:footerReference w:type="default" r:id="rId8"/>
      <w:type w:val="nextPage"/>
      <w:pgSz w:w="11906" w:h="16838" w:orient="portrait"/>
      <w:pgMar w:top="200" w:right="200" w:bottom="420" w:left="200" w:header="0" w:footer="1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e4f513e480b807c532d9e3f3e7875c4083abcd2.png"/><Relationship Id="rId10" Type="http://schemas.openxmlformats.org/officeDocument/2006/relationships/image" Target="media/b2b2d7c7efb3f30eb3d2f36989cfa14f2029adbe.png"/><Relationship Id="rId11" Type="http://schemas.openxmlformats.org/officeDocument/2006/relationships/image" Target="media/3e0d5cd7410072f621125f9466a47538b8484785.png"/><Relationship Id="rId12" Type="http://schemas.openxmlformats.org/officeDocument/2006/relationships/image" Target="media/930b12feb78c2a7223e3994135daa5f82e020ffe.png"/><Relationship Id="rId13" Type="http://schemas.openxmlformats.org/officeDocument/2006/relationships/image" Target="media/97008b1080de62d6fb081f52664a91d418d7934e.png"/><Relationship Id="rId14" Type="http://schemas.openxmlformats.org/officeDocument/2006/relationships/image" Target="media/c38872059cd5731903c2ad5041f07c8d4699b365.png"/><Relationship Id="rId15" Type="http://schemas.openxmlformats.org/officeDocument/2006/relationships/image" Target="media/aa436bb3aa9a686f40cb70464b01c0030364a1d6.png"/><Relationship Id="rId16" Type="http://schemas.openxmlformats.org/officeDocument/2006/relationships/image" Target="media/e5b584d1e109e6d51d861c2bfc30932feb309163.png"/><Relationship Id="rId17" Type="http://schemas.openxmlformats.org/officeDocument/2006/relationships/image" Target="media/7f8911a6a4fdcc2831d9e8a06b4c90219a71b39d.png"/><Relationship Id="rId18" Type="http://schemas.openxmlformats.org/officeDocument/2006/relationships/image" Target="media/9186d6d0fd41b9f3fd8c32d4b6b821345cc10ac1.png"/><Relationship Id="rId19" Type="http://schemas.openxmlformats.org/officeDocument/2006/relationships/image" Target="media/51e598226025a42a737e6fef5a13425c2c8649a0.png"/><Relationship Id="rId20" Type="http://schemas.openxmlformats.org/officeDocument/2006/relationships/image" Target="media/9570f91f852c6c39aad8d6f047dd2c1bef9ac37e.png"/><Relationship Id="rId21" Type="http://schemas.openxmlformats.org/officeDocument/2006/relationships/image" Target="media/34cf5efedec970dddabf7ad7f0397fa946dde7af.png"/><Relationship Id="rId22" Type="http://schemas.openxmlformats.org/officeDocument/2006/relationships/image" Target="media/614c883e6f2b898c089b825413644af7dee880dd.png"/><Relationship Id="rId23" Type="http://schemas.openxmlformats.org/officeDocument/2006/relationships/image" Target="media/67d3af205c0720abae927a295402b8173067a71d.png"/><Relationship Id="rId24" Type="http://schemas.openxmlformats.org/officeDocument/2006/relationships/image" Target="media/0ecdedf336d9450fef0f4340e7d2f3445bf5d5ea.png"/><Relationship Id="rId25" Type="http://schemas.openxmlformats.org/officeDocument/2006/relationships/image" Target="media/100e719272ccd251c35d82999c2cbfdfab008b96.png"/><Relationship Id="rId26" Type="http://schemas.openxmlformats.org/officeDocument/2006/relationships/image" Target="media/0e8de6046ea8cf465c51ece1e2db1d0fdb7f5b9e.png"/><Relationship Id="rId27" Type="http://schemas.openxmlformats.org/officeDocument/2006/relationships/image" Target="media/fbaa45cc822c3cf6d5ceb7547cdd01441f6bb8f4.png"/><Relationship Id="rId28" Type="http://schemas.openxmlformats.org/officeDocument/2006/relationships/image" Target="media/a62342d9ec50c46f4e7f430f13c67905c743e7ce.png"/><Relationship Id="rId29" Type="http://schemas.openxmlformats.org/officeDocument/2006/relationships/image" Target="media/c23baf12f58fb7d6f1f8761bea3b0491de401375.png"/><Relationship Id="rId30" Type="http://schemas.openxmlformats.org/officeDocument/2006/relationships/image" Target="media/31d0b48de66fdcb2106a00b6ec45fcaaff752dfe.png"/><Relationship Id="rId31" Type="http://schemas.openxmlformats.org/officeDocument/2006/relationships/image" Target="media/30cb8469be326b2ca7bbe97b9caa7e1c4842f99d.png"/><Relationship Id="rId32" Type="http://schemas.openxmlformats.org/officeDocument/2006/relationships/image" Target="media/11ae97cbbba07ae07141e02f3be12fcfb32209b4.png"/><Relationship Id="rId33" Type="http://schemas.openxmlformats.org/officeDocument/2006/relationships/image" Target="media/d40688d44987d578c4578ea19e236ca614ea843a.png"/><Relationship Id="rId34" Type="http://schemas.openxmlformats.org/officeDocument/2006/relationships/image" Target="media/b3e445c9f34a4a944fb280d19258017788441bf7.png"/><Relationship Id="rId35" Type="http://schemas.openxmlformats.org/officeDocument/2006/relationships/image" Target="media/67c8ea2a55c01eaf39a5b555e17932328157a3b1.png"/><Relationship Id="rId36" Type="http://schemas.openxmlformats.org/officeDocument/2006/relationships/image" Target="media/f93973cef37e97655b8f2ee6a16d436dc31b144b.png"/><Relationship Id="rId37" Type="http://schemas.openxmlformats.org/officeDocument/2006/relationships/image" Target="media/622cee3aa81df98e2bbcd50166634b878e8dd818.png"/><Relationship Id="rId38" Type="http://schemas.openxmlformats.org/officeDocument/2006/relationships/image" Target="media/cf58b765b7de8ff377687c2671163528a8e708f3.png"/><Relationship Id="rId39" Type="http://schemas.openxmlformats.org/officeDocument/2006/relationships/image" Target="media/c59b24049313dff36dc84ade4dcb2534413819d0.png"/><Relationship Id="rId40" Type="http://schemas.openxmlformats.org/officeDocument/2006/relationships/image" Target="media/4629fff7f4d90544c6881dfa0ac0b1581647ead4.png"/><Relationship Id="rId41" Type="http://schemas.openxmlformats.org/officeDocument/2006/relationships/image" Target="media/d810a8de8705d486a1cc41f629d6e44a63c29c7d.png"/><Relationship Id="rId42" Type="http://schemas.openxmlformats.org/officeDocument/2006/relationships/image" Target="media/30db9ba6696526f51fce71150cb064598929c470.png"/><Relationship Id="rId43" Type="http://schemas.openxmlformats.org/officeDocument/2006/relationships/image" Target="media/79483e499b773861f736c4797e4f6cc8c65b3a9f.png"/><Relationship Id="rId44" Type="http://schemas.openxmlformats.org/officeDocument/2006/relationships/image" Target="media/6776e5c5d5e3b831d3a6082e34880dd0764b9702.png"/><Relationship Id="rId45" Type="http://schemas.openxmlformats.org/officeDocument/2006/relationships/image" Target="media/6c32e3d1a1d4ea4565596481224b7e392927ea41.png"/><Relationship Id="rId46" Type="http://schemas.openxmlformats.org/officeDocument/2006/relationships/image" Target="media/fb371acf9afb43003bfd5fcfe998ff3f42126817.png"/><Relationship Id="rId47" Type="http://schemas.openxmlformats.org/officeDocument/2006/relationships/image" Target="media/9d7f4f37ccf94ef7fd235868df77621056da952c.png"/><Relationship Id="rId48" Type="http://schemas.openxmlformats.org/officeDocument/2006/relationships/image" Target="media/b6ce42f600e79cb79b0a52817697edfb12996ec6.png"/><Relationship Id="rId49" Type="http://schemas.openxmlformats.org/officeDocument/2006/relationships/image" Target="media/1987ead589840fa585f367b9fb74310fee03f7dd.png"/><Relationship Id="rId50" Type="http://schemas.openxmlformats.org/officeDocument/2006/relationships/image" Target="media/a1a01b45d6be15873163d7f4df2b5d1388d71092.png"/><Relationship Id="rId51" Type="http://schemas.openxmlformats.org/officeDocument/2006/relationships/image" Target="media/74b785ab5dc6ff2d7a2669dbff7ca479845d79c7.png"/><Relationship Id="rId52" Type="http://schemas.openxmlformats.org/officeDocument/2006/relationships/image" Target="media/cad639ca5e0bdcd7eee0898b91cc8274ca418bf7.png"/><Relationship Id="rId53" Type="http://schemas.openxmlformats.org/officeDocument/2006/relationships/image" Target="media/b75d7c57b9f5e0f71be8fa7975bc23b67c6f4a4a.png"/><Relationship Id="rId54" Type="http://schemas.openxmlformats.org/officeDocument/2006/relationships/image" Target="media/7640993cad1d25805eb3ec4b6d40d373df297a1b.png"/><Relationship Id="rId55" Type="http://schemas.openxmlformats.org/officeDocument/2006/relationships/image" Target="media/097d9e68442f8586148a911de890f9b42b249cf6.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2026-10-17T20:48:06.616Z</dcterms:created>
  <dcterms:modified xsi:type="dcterms:W3CDTF">2026-10-17T20:48:06.616Z</dcterms:modified>
</cp:coreProperties>
</file>

<file path=docProps/custom.xml><?xml version="1.0" encoding="utf-8"?>
<Properties xmlns="http://schemas.openxmlformats.org/officeDocument/2006/custom-properties" xmlns:vt="http://schemas.openxmlformats.org/officeDocument/2006/docPropsVTypes"/>
</file>