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caps/>
          <w:color w:val="2E74B5"/>
          <w:sz w:val="20"/>
        </w:rPr>
        <w:t>ONSITE INTERVIEW PREP</w:t>
      </w:r>
    </w:p>
    <w:p>
      <w:pPr>
        <w:spacing w:before="0" w:after="120"/>
      </w:pPr>
      <w:r>
        <w:rPr>
          <w:rFonts w:ascii="Calibri" w:hAnsi="Calibri"/>
          <w:b/>
          <w:color w:val="0B2545"/>
          <w:sz w:val="56"/>
        </w:rPr>
        <w:t>Ripple | Identity &amp; Trust</w:t>
      </w:r>
    </w:p>
    <w:p>
      <w:pPr>
        <w:pStyle w:val="Subtitle"/>
      </w:pPr>
      <w:r>
        <w:rPr>
          <w:rFonts w:ascii="Calibri" w:hAnsi="Calibri"/>
          <w:color w:val="5F6B7A"/>
          <w:sz w:val="26"/>
        </w:rPr>
        <w:t>Comprehensive preparation guide for Shyam Padia</w:t>
      </w:r>
    </w:p>
    <w:p>
      <w:pPr>
        <w:spacing w:after="280"/>
      </w:pPr>
      <w:r>
        <w:rPr>
          <w:rFonts w:ascii="Calibri" w:hAnsi="Calibri"/>
          <w:b/>
          <w:color w:val="0B2545"/>
          <w:sz w:val="21"/>
        </w:rPr>
        <w:t>Thursday, July 23, 2026  |  11:00 AM-1:45 PM Pacific  |  San Francisco</w:t>
      </w:r>
    </w:p>
    <w:tbl>
      <w:tblPr>
        <w:tblW w:type="dxa" w:w="9360"/>
        <w:jc w:val="left"/>
        <w:tblLayout w:type="fixed"/>
        <w:tblLook w:firstColumn="1" w:firstRow="1" w:lastColumn="0" w:lastRow="0" w:noHBand="0" w:noVBand="1" w:val="04A0"/>
        <w:tblInd w:w="120" w:type="dxa"/>
        <w:tblBorders>
          <w:top w:val="single" w:sz="6" w:space="0" w:color="E8EEF5"/>
          <w:left w:val="single" w:sz="6" w:space="0" w:color="E8EEF5"/>
          <w:bottom w:val="single" w:sz="6" w:space="0" w:color="E8EEF5"/>
          <w:right w:val="single" w:sz="6" w:space="0" w:color="E8EEF5"/>
          <w:insideH w:val="single" w:sz="6" w:space="0" w:color="E8EEF5"/>
          <w:insideV w:val="single" w:sz="6" w:space="0" w:color="E8EEF5"/>
        </w:tblBorders>
      </w:tblPr>
      <w:tblGrid>
        <w:gridCol w:w="2340"/>
        <w:gridCol w:w="2340"/>
        <w:gridCol w:w="2340"/>
        <w:gridCol w:w="2340"/>
      </w:tblGrid>
      <w:tr>
        <w:trPr>
          <w:tblHeader w:val="true"/>
          <w:cantSplit w:val="true"/>
        </w:trPr>
        <w:tc>
          <w:tcPr>
            <w:tcW w:type="dxa" w:w="2340"/>
            <w:tcMar>
              <w:top w:w="80" w:type="dxa"/>
              <w:start w:w="120" w:type="dxa"/>
              <w:bottom w:w="80" w:type="dxa"/>
              <w:end w:w="120" w:type="dxa"/>
            </w:tcMar>
            <w:vAlign w:val="center"/>
            <w:shd w:fill="E8EEF5" w:val="clear"/>
          </w:tcPr>
          <w:p>
            <w:pPr>
              <w:spacing w:after="40"/>
              <w:jc w:val="center"/>
            </w:pPr>
            <w:r>
              <w:rPr>
                <w:rFonts w:ascii="Calibri" w:hAnsi="Calibri"/>
                <w:b/>
                <w:color w:val="2E74B5"/>
                <w:sz w:val="18"/>
              </w:rPr>
              <w:t>11:00-12:00</w:t>
            </w:r>
          </w:p>
          <w:p>
            <w:pPr>
              <w:spacing w:after="20"/>
              <w:jc w:val="center"/>
            </w:pPr>
            <w:r>
              <w:rPr>
                <w:rFonts w:ascii="Calibri" w:hAnsi="Calibri"/>
                <w:b/>
                <w:color w:val="0B2545"/>
                <w:sz w:val="20"/>
              </w:rPr>
              <w:t>System design</w:t>
            </w:r>
          </w:p>
          <w:p>
            <w:pPr>
              <w:spacing w:after="0"/>
              <w:jc w:val="center"/>
            </w:pPr>
            <w:r>
              <w:rPr>
                <w:rFonts w:ascii="Calibri" w:hAnsi="Calibri"/>
                <w:color w:val="5F6B7A"/>
                <w:sz w:val="16"/>
              </w:rPr>
              <w:t>Bruno Roberti</w:t>
            </w:r>
          </w:p>
        </w:tc>
        <w:tc>
          <w:tcPr>
            <w:tcW w:type="dxa" w:w="2340"/>
            <w:tcMar>
              <w:top w:w="80" w:type="dxa"/>
              <w:start w:w="120" w:type="dxa"/>
              <w:bottom w:w="80" w:type="dxa"/>
              <w:end w:w="120" w:type="dxa"/>
            </w:tcMar>
            <w:vAlign w:val="center"/>
            <w:shd w:fill="E8EEF5" w:val="clear"/>
          </w:tcPr>
          <w:p>
            <w:pPr>
              <w:spacing w:after="40"/>
              <w:jc w:val="center"/>
            </w:pPr>
            <w:r>
              <w:rPr>
                <w:rFonts w:ascii="Calibri" w:hAnsi="Calibri"/>
                <w:b/>
                <w:color w:val="2E74B5"/>
                <w:sz w:val="18"/>
              </w:rPr>
              <w:t>12:00-1:00</w:t>
            </w:r>
          </w:p>
          <w:p>
            <w:pPr>
              <w:spacing w:after="20"/>
              <w:jc w:val="center"/>
            </w:pPr>
            <w:r>
              <w:rPr>
                <w:rFonts w:ascii="Calibri" w:hAnsi="Calibri"/>
                <w:b/>
                <w:color w:val="0B2545"/>
                <w:sz w:val="20"/>
              </w:rPr>
              <w:t>Coding</w:t>
            </w:r>
          </w:p>
          <w:p>
            <w:pPr>
              <w:spacing w:after="0"/>
              <w:jc w:val="center"/>
            </w:pPr>
            <w:r>
              <w:rPr>
                <w:rFonts w:ascii="Calibri" w:hAnsi="Calibri"/>
                <w:color w:val="5F6B7A"/>
                <w:sz w:val="16"/>
              </w:rPr>
              <w:t>Ravshan Makhmadaliev</w:t>
            </w:r>
          </w:p>
        </w:tc>
        <w:tc>
          <w:tcPr>
            <w:tcW w:type="dxa" w:w="2340"/>
            <w:tcMar>
              <w:top w:w="80" w:type="dxa"/>
              <w:start w:w="120" w:type="dxa"/>
              <w:bottom w:w="80" w:type="dxa"/>
              <w:end w:w="120" w:type="dxa"/>
            </w:tcMar>
            <w:vAlign w:val="center"/>
            <w:shd w:fill="E8EEF5" w:val="clear"/>
          </w:tcPr>
          <w:p>
            <w:pPr>
              <w:spacing w:after="40"/>
              <w:jc w:val="center"/>
            </w:pPr>
            <w:r>
              <w:rPr>
                <w:rFonts w:ascii="Calibri" w:hAnsi="Calibri"/>
                <w:b/>
                <w:color w:val="2E74B5"/>
                <w:sz w:val="18"/>
              </w:rPr>
              <w:t>1:00-1:15</w:t>
            </w:r>
          </w:p>
          <w:p>
            <w:pPr>
              <w:spacing w:after="20"/>
              <w:jc w:val="center"/>
            </w:pPr>
            <w:r>
              <w:rPr>
                <w:rFonts w:ascii="Calibri" w:hAnsi="Calibri"/>
                <w:b/>
                <w:color w:val="0B2545"/>
                <w:sz w:val="20"/>
              </w:rPr>
              <w:t>Break</w:t>
            </w:r>
          </w:p>
          <w:p>
            <w:pPr>
              <w:spacing w:after="0"/>
              <w:jc w:val="center"/>
            </w:pPr>
            <w:r>
              <w:rPr>
                <w:rFonts w:ascii="Calibri" w:hAnsi="Calibri"/>
                <w:color w:val="5F6B7A"/>
                <w:sz w:val="16"/>
              </w:rPr>
              <w:t>Reset and hydrate</w:t>
            </w:r>
          </w:p>
        </w:tc>
        <w:tc>
          <w:tcPr>
            <w:tcW w:type="dxa" w:w="2340"/>
            <w:tcMar>
              <w:top w:w="80" w:type="dxa"/>
              <w:start w:w="120" w:type="dxa"/>
              <w:bottom w:w="80" w:type="dxa"/>
              <w:end w:w="120" w:type="dxa"/>
            </w:tcMar>
            <w:vAlign w:val="center"/>
            <w:shd w:fill="E8EEF5" w:val="clear"/>
          </w:tcPr>
          <w:p>
            <w:pPr>
              <w:spacing w:after="40"/>
              <w:jc w:val="center"/>
            </w:pPr>
            <w:r>
              <w:rPr>
                <w:rFonts w:ascii="Calibri" w:hAnsi="Calibri"/>
                <w:b/>
                <w:color w:val="2E74B5"/>
                <w:sz w:val="18"/>
              </w:rPr>
              <w:t>1:15-1:45</w:t>
            </w:r>
          </w:p>
          <w:p>
            <w:pPr>
              <w:spacing w:after="20"/>
              <w:jc w:val="center"/>
            </w:pPr>
            <w:r>
              <w:rPr>
                <w:rFonts w:ascii="Calibri" w:hAnsi="Calibri"/>
                <w:b/>
                <w:color w:val="0B2545"/>
                <w:sz w:val="20"/>
              </w:rPr>
              <w:t>Collaboration + values</w:t>
            </w:r>
          </w:p>
          <w:p>
            <w:pPr>
              <w:spacing w:after="0"/>
              <w:jc w:val="center"/>
            </w:pPr>
            <w:r>
              <w:rPr>
                <w:rFonts w:ascii="Calibri" w:hAnsi="Calibri"/>
                <w:color w:val="5F6B7A"/>
                <w:sz w:val="16"/>
              </w:rPr>
              <w:t>Guruprasad P. Sarathy</w:t>
            </w:r>
          </w:p>
        </w:tc>
      </w:tr>
    </w:tbl>
    <w:p>
      <w:pPr>
        <w:spacing w:after="0"/>
      </w:pPr>
    </w:p>
    <w:p>
      <w:pPr>
        <w:pStyle w:val="Heading1"/>
      </w:pPr>
      <w:r>
        <w:t>Read this first</w:t>
      </w:r>
    </w:p>
    <w:p>
      <w:pPr>
        <w:spacing w:before="100" w:after="160" w:line="283" w:lineRule="auto"/>
        <w:ind w:left="173" w:right="115"/>
        <w:shd w:fill="FFF8E8" w:val="clear"/>
        <w:pBdr>
          <w:left w:val="single" w:sz="18" w:space="8" w:color="7A5A00"/>
        </w:pBdr>
      </w:pPr>
      <w:r>
        <w:rPr>
          <w:rFonts w:ascii="Calibri" w:hAnsi="Calibri"/>
          <w:b/>
          <w:color w:val="7A5A00"/>
          <w:sz w:val="21"/>
        </w:rPr>
        <w:t xml:space="preserve">Schedule reality  </w:t>
      </w:r>
      <w:r>
        <w:rPr>
          <w:rFonts w:ascii="Calibri" w:hAnsi="Calibri"/>
          <w:color w:val="1F2937"/>
          <w:sz w:val="21"/>
        </w:rPr>
        <w:t>Your current Ripple calendar contains three evaluated sessions, not four. The separate recruiter prep email listed four competency areas. Ripple's role-specific Identity packet marks Past Project Walkthrough and Execution &amp; Ownership as Staff-only, while your role is Senior. Prepare four competency buckets, but plan the onsite around the three sessions above unless Ripple sends a revised invite.</w:t>
      </w:r>
    </w:p>
    <w:p>
      <w:pPr>
        <w:spacing w:after="120" w:line="300" w:lineRule="auto"/>
      </w:pPr>
      <w:r>
        <w:rPr>
          <w:rFonts w:ascii="Calibri" w:hAnsi="Calibri"/>
          <w:b/>
          <w:color w:val="1F2937"/>
          <w:sz w:val="22"/>
        </w:rPr>
        <w:t xml:space="preserve">How to interpret it. </w:t>
      </w:r>
      <w:r>
        <w:rPr>
          <w:rFonts w:ascii="Calibri" w:hAnsi="Calibri"/>
          <w:i w:val="0"/>
          <w:color w:val="1F2937"/>
          <w:sz w:val="22"/>
        </w:rPr>
        <w:t>The fourth bucket is still important: weave project depth, technical leadership, prioritization, and lessons learned into system-design examples and collaboration answers. Do not force a separate project presentation unless asked.</w:t>
      </w:r>
    </w:p>
    <w:p>
      <w:pPr>
        <w:spacing w:after="120" w:line="300" w:lineRule="auto"/>
      </w:pPr>
      <w:r>
        <w:rPr>
          <w:rFonts w:ascii="Calibri" w:hAnsi="Calibri"/>
          <w:b/>
          <w:color w:val="1F2937"/>
          <w:sz w:val="22"/>
        </w:rPr>
        <w:t xml:space="preserve">Evidence legend. </w:t>
      </w:r>
      <w:r>
        <w:rPr>
          <w:rFonts w:ascii="Calibri" w:hAnsi="Calibri"/>
          <w:i w:val="0"/>
          <w:color w:val="1F2937"/>
          <w:sz w:val="22"/>
        </w:rPr>
        <w:t>Use this evidence hierarchy throughout the guide:</w:t>
      </w:r>
    </w:p>
    <w:p>
      <w:pPr>
        <w:numPr>
          <w:ilvl w:val="0"/>
          <w:numId w:val="10"/>
        </w:numPr>
        <w:spacing w:after="80" w:line="300" w:lineRule="auto"/>
      </w:pPr>
      <w:r>
        <w:rPr>
          <w:rFonts w:ascii="Calibri" w:hAnsi="Calibri"/>
          <w:b/>
          <w:color w:val="1F2937"/>
          <w:sz w:val="21"/>
        </w:rPr>
        <w:t xml:space="preserve">OFFICIAL - </w:t>
      </w:r>
      <w:r>
        <w:rPr>
          <w:rFonts w:ascii="Calibri" w:hAnsi="Calibri"/>
          <w:color w:val="1F2937"/>
          <w:sz w:val="21"/>
        </w:rPr>
        <w:t>Current schedule, rubric, sample questions, role packet, and recruiter guidance from your Ripple emails.</w:t>
      </w:r>
    </w:p>
    <w:p>
      <w:pPr>
        <w:numPr>
          <w:ilvl w:val="0"/>
          <w:numId w:val="10"/>
        </w:numPr>
        <w:spacing w:after="80" w:line="300" w:lineRule="auto"/>
      </w:pPr>
      <w:r>
        <w:rPr>
          <w:rFonts w:ascii="Calibri" w:hAnsi="Calibri"/>
          <w:b/>
          <w:color w:val="1F2937"/>
          <w:sz w:val="21"/>
        </w:rPr>
        <w:t xml:space="preserve">REPORTED - </w:t>
      </w:r>
      <w:r>
        <w:rPr>
          <w:rFonts w:ascii="Calibri" w:hAnsi="Calibri"/>
          <w:color w:val="1F2937"/>
          <w:sz w:val="21"/>
        </w:rPr>
        <w:t>Firsthand but anonymous public candidate reports. Useful for problem families, not prediction.</w:t>
      </w:r>
    </w:p>
    <w:p>
      <w:pPr>
        <w:numPr>
          <w:ilvl w:val="0"/>
          <w:numId w:val="10"/>
        </w:numPr>
        <w:spacing w:after="80" w:line="300" w:lineRule="auto"/>
      </w:pPr>
      <w:r>
        <w:rPr>
          <w:rFonts w:ascii="Calibri" w:hAnsi="Calibri"/>
          <w:b/>
          <w:color w:val="1F2937"/>
          <w:sz w:val="21"/>
        </w:rPr>
        <w:t xml:space="preserve">PRACTICE - </w:t>
      </w:r>
      <w:r>
        <w:rPr>
          <w:rFonts w:ascii="Calibri" w:hAnsi="Calibri"/>
          <w:color w:val="1F2937"/>
          <w:sz w:val="21"/>
        </w:rPr>
        <w:t>Role-aligned drills built from the rubric and job description. They are not claimed past Ripple questions.</w:t>
      </w:r>
    </w:p>
    <w:p>
      <w:pPr>
        <w:pStyle w:val="Heading2"/>
      </w:pPr>
      <w:r>
        <w:t>Your winning strategy</w:t>
      </w:r>
    </w:p>
    <w:p>
      <w:pPr>
        <w:numPr>
          <w:ilvl w:val="0"/>
          <w:numId w:val="10"/>
        </w:numPr>
        <w:spacing w:after="80" w:line="300" w:lineRule="auto"/>
      </w:pPr>
      <w:r>
        <w:rPr>
          <w:rFonts w:ascii="Calibri" w:hAnsi="Calibri"/>
          <w:b/>
          <w:color w:val="1F2937"/>
          <w:sz w:val="21"/>
        </w:rPr>
        <w:t xml:space="preserve">System design: </w:t>
      </w:r>
      <w:r>
        <w:rPr>
          <w:rFonts w:ascii="Calibri" w:hAnsi="Calibri"/>
          <w:color w:val="1F2937"/>
          <w:sz w:val="21"/>
        </w:rPr>
        <w:t>Lead with boundaries and invariants, then contracts, failure handling, migration, and tradeoffs. A diagram without semantics will not be enough.</w:t>
      </w:r>
    </w:p>
    <w:p>
      <w:pPr>
        <w:numPr>
          <w:ilvl w:val="0"/>
          <w:numId w:val="10"/>
        </w:numPr>
        <w:spacing w:after="80" w:line="300" w:lineRule="auto"/>
      </w:pPr>
      <w:r>
        <w:rPr>
          <w:rFonts w:ascii="Calibri" w:hAnsi="Calibri"/>
          <w:b/>
          <w:color w:val="1F2937"/>
          <w:sz w:val="21"/>
        </w:rPr>
        <w:t xml:space="preserve">Coding: </w:t>
      </w:r>
      <w:r>
        <w:rPr>
          <w:rFonts w:ascii="Calibri" w:hAnsi="Calibri"/>
          <w:color w:val="1F2937"/>
          <w:sz w:val="21"/>
        </w:rPr>
        <w:t>Ship a small, working, testable design. Ripple explicitly says the problem is not intended to be algorithmically tricky; craftsmanship and follow-up adaptation are the signal.</w:t>
      </w:r>
    </w:p>
    <w:p>
      <w:pPr>
        <w:numPr>
          <w:ilvl w:val="0"/>
          <w:numId w:val="10"/>
        </w:numPr>
        <w:spacing w:after="80" w:line="300" w:lineRule="auto"/>
      </w:pPr>
      <w:r>
        <w:rPr>
          <w:rFonts w:ascii="Calibri" w:hAnsi="Calibri"/>
          <w:b/>
          <w:color w:val="1F2937"/>
          <w:sz w:val="21"/>
        </w:rPr>
        <w:t xml:space="preserve">Collaboration: </w:t>
      </w:r>
      <w:r>
        <w:rPr>
          <w:rFonts w:ascii="Calibri" w:hAnsi="Calibri"/>
          <w:color w:val="1F2937"/>
          <w:sz w:val="21"/>
        </w:rPr>
        <w:t>Use specific cross-functional examples with a visible disagreement, your personal action, a measurable result, and honest hindsight.</w:t>
      </w:r>
    </w:p>
    <w:p>
      <w:pPr>
        <w:numPr>
          <w:ilvl w:val="0"/>
          <w:numId w:val="10"/>
        </w:numPr>
        <w:spacing w:after="80" w:line="300" w:lineRule="auto"/>
      </w:pPr>
      <w:r>
        <w:rPr>
          <w:rFonts w:ascii="Calibri" w:hAnsi="Calibri"/>
          <w:b/>
          <w:color w:val="1F2937"/>
          <w:sz w:val="21"/>
        </w:rPr>
        <w:t xml:space="preserve">Positioning: </w:t>
      </w:r>
      <w:r>
        <w:rPr>
          <w:rFonts w:ascii="Calibri" w:hAnsi="Calibri"/>
          <w:color w:val="1F2937"/>
          <w:sz w:val="21"/>
        </w:rPr>
        <w:t>Bridge your Intuit platform work to identity and trust without pretending you have direct KYC/KYB depth. Your distributed systems, canonical-profile, eventing, API, AWS, and migration experience is highly relevant.</w:t>
      </w:r>
    </w:p>
    <w:p>
      <w:pPr>
        <w:pStyle w:val="Heading1"/>
      </w:pPr>
      <w:r>
        <w:t>1. Actual onsite loop and logistics</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450"/>
        <w:gridCol w:w="2200"/>
        <w:gridCol w:w="2070"/>
        <w:gridCol w:w="3640"/>
      </w:tblGrid>
      <w:tr>
        <w:trPr>
          <w:tblHeader w:val="true"/>
          <w:cantSplit w:val="true"/>
        </w:trPr>
        <w:tc>
          <w:tcPr>
            <w:tcW w:type="dxa" w:w="145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Pacific time</w:t>
            </w:r>
          </w:p>
        </w:tc>
        <w:tc>
          <w:tcPr>
            <w:tcW w:type="dxa" w:w="22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Interviewer</w:t>
            </w:r>
          </w:p>
        </w:tc>
        <w:tc>
          <w:tcPr>
            <w:tcW w:type="dxa" w:w="207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Official focus</w:t>
            </w:r>
          </w:p>
        </w:tc>
        <w:tc>
          <w:tcPr>
            <w:tcW w:type="dxa" w:w="364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What to prove</w:t>
            </w:r>
          </w:p>
        </w:tc>
      </w:tr>
      <w:tr>
        <w:trPr>
          <w:cantSplit w:val="true"/>
        </w:trPr>
        <w:tc>
          <w:tcPr>
            <w:tcW w:type="dxa" w:w="1450"/>
          </w:tcPr>
          <w:p>
            <w:pPr>
              <w:spacing w:after="0" w:line="259" w:lineRule="auto"/>
              <w:jc w:val="left"/>
            </w:pPr>
            <w:r>
              <w:rPr>
                <w:rFonts w:ascii="Calibri" w:hAnsi="Calibri"/>
                <w:b/>
                <w:color w:val="1F2937"/>
                <w:sz w:val="18"/>
              </w:rPr>
              <w:t>11:00 AM-12:00 PM</w:t>
            </w:r>
          </w:p>
        </w:tc>
        <w:tc>
          <w:tcPr>
            <w:tcW w:type="dxa" w:w="2200"/>
          </w:tcPr>
          <w:p>
            <w:pPr>
              <w:spacing w:after="0" w:line="259" w:lineRule="auto"/>
              <w:jc w:val="left"/>
            </w:pPr>
            <w:r>
              <w:rPr>
                <w:rFonts w:ascii="Calibri" w:hAnsi="Calibri"/>
                <w:b w:val="0"/>
                <w:color w:val="1F2937"/>
                <w:sz w:val="18"/>
              </w:rPr>
              <w:t>Bruno Roberti</w:t>
              <w:br/>
              <w:t>Staff Software Engineer</w:t>
            </w:r>
          </w:p>
        </w:tc>
        <w:tc>
          <w:tcPr>
            <w:tcW w:type="dxa" w:w="2070"/>
          </w:tcPr>
          <w:p>
            <w:pPr>
              <w:spacing w:after="0" w:line="259" w:lineRule="auto"/>
              <w:jc w:val="left"/>
            </w:pPr>
            <w:r>
              <w:rPr>
                <w:rFonts w:ascii="Calibri" w:hAnsi="Calibri"/>
                <w:b w:val="0"/>
                <w:color w:val="1F2937"/>
                <w:sz w:val="18"/>
              </w:rPr>
              <w:t>System design and architecture</w:t>
            </w:r>
          </w:p>
        </w:tc>
        <w:tc>
          <w:tcPr>
            <w:tcW w:type="dxa" w:w="3640"/>
          </w:tcPr>
          <w:p>
            <w:pPr>
              <w:spacing w:after="0" w:line="259" w:lineRule="auto"/>
              <w:jc w:val="left"/>
            </w:pPr>
            <w:r>
              <w:rPr>
                <w:rFonts w:ascii="Calibri" w:hAnsi="Calibri"/>
                <w:b w:val="0"/>
                <w:color w:val="1F2937"/>
                <w:sz w:val="18"/>
              </w:rPr>
              <w:t>Production-ready backend judgment: requirements, models, APIs, failure, operations, migration, tradeoffs.</w:t>
            </w:r>
          </w:p>
        </w:tc>
      </w:tr>
      <w:tr>
        <w:trPr>
          <w:cantSplit w:val="true"/>
        </w:trPr>
        <w:tc>
          <w:tcPr>
            <w:tcW w:type="dxa" w:w="1450"/>
          </w:tcPr>
          <w:p>
            <w:pPr>
              <w:spacing w:after="0" w:line="259" w:lineRule="auto"/>
              <w:jc w:val="left"/>
            </w:pPr>
            <w:r>
              <w:rPr>
                <w:rFonts w:ascii="Calibri" w:hAnsi="Calibri"/>
                <w:b/>
                <w:color w:val="1F2937"/>
                <w:sz w:val="18"/>
              </w:rPr>
              <w:t>12:00-1:00 PM</w:t>
            </w:r>
          </w:p>
        </w:tc>
        <w:tc>
          <w:tcPr>
            <w:tcW w:type="dxa" w:w="2200"/>
          </w:tcPr>
          <w:p>
            <w:pPr>
              <w:spacing w:after="0" w:line="259" w:lineRule="auto"/>
              <w:jc w:val="left"/>
            </w:pPr>
            <w:r>
              <w:rPr>
                <w:rFonts w:ascii="Calibri" w:hAnsi="Calibri"/>
                <w:b w:val="0"/>
                <w:color w:val="1F2937"/>
                <w:sz w:val="18"/>
              </w:rPr>
              <w:t>Ravshan Makhmadaliev</w:t>
              <w:br/>
              <w:t>Senior Software Engineer</w:t>
            </w:r>
          </w:p>
        </w:tc>
        <w:tc>
          <w:tcPr>
            <w:tcW w:type="dxa" w:w="2070"/>
          </w:tcPr>
          <w:p>
            <w:pPr>
              <w:spacing w:after="0" w:line="259" w:lineRule="auto"/>
              <w:jc w:val="left"/>
            </w:pPr>
            <w:r>
              <w:rPr>
                <w:rFonts w:ascii="Calibri" w:hAnsi="Calibri"/>
                <w:b w:val="0"/>
                <w:color w:val="1F2937"/>
                <w:sz w:val="18"/>
              </w:rPr>
              <w:t>Coding</w:t>
            </w:r>
          </w:p>
        </w:tc>
        <w:tc>
          <w:tcPr>
            <w:tcW w:type="dxa" w:w="3640"/>
          </w:tcPr>
          <w:p>
            <w:pPr>
              <w:spacing w:after="0" w:line="259" w:lineRule="auto"/>
              <w:jc w:val="left"/>
            </w:pPr>
            <w:r>
              <w:rPr>
                <w:rFonts w:ascii="Calibri" w:hAnsi="Calibri"/>
                <w:b w:val="0"/>
                <w:color w:val="1F2937"/>
                <w:sz w:val="18"/>
              </w:rPr>
              <w:t>Clean OOP/modularity, correct data structures, tests, extensibility, communication.</w:t>
            </w:r>
          </w:p>
        </w:tc>
      </w:tr>
      <w:tr>
        <w:trPr>
          <w:cantSplit w:val="true"/>
        </w:trPr>
        <w:tc>
          <w:tcPr>
            <w:tcW w:type="dxa" w:w="1450"/>
          </w:tcPr>
          <w:p>
            <w:pPr>
              <w:spacing w:after="0" w:line="259" w:lineRule="auto"/>
              <w:jc w:val="left"/>
            </w:pPr>
            <w:r>
              <w:rPr>
                <w:rFonts w:ascii="Calibri" w:hAnsi="Calibri"/>
                <w:b/>
                <w:color w:val="1F2937"/>
                <w:sz w:val="18"/>
              </w:rPr>
              <w:t>1:00-1:15 PM</w:t>
            </w:r>
          </w:p>
        </w:tc>
        <w:tc>
          <w:tcPr>
            <w:tcW w:type="dxa" w:w="2200"/>
          </w:tcPr>
          <w:p>
            <w:pPr>
              <w:spacing w:after="0" w:line="259" w:lineRule="auto"/>
              <w:jc w:val="left"/>
            </w:pPr>
            <w:r>
              <w:rPr>
                <w:rFonts w:ascii="Calibri" w:hAnsi="Calibri"/>
                <w:b w:val="0"/>
                <w:color w:val="1F2937"/>
                <w:sz w:val="18"/>
              </w:rPr>
              <w:t>Alex Tran</w:t>
              <w:br/>
              <w:t>Recruiting Coordinator</w:t>
            </w:r>
          </w:p>
        </w:tc>
        <w:tc>
          <w:tcPr>
            <w:tcW w:type="dxa" w:w="2070"/>
          </w:tcPr>
          <w:p>
            <w:pPr>
              <w:spacing w:after="0" w:line="259" w:lineRule="auto"/>
              <w:jc w:val="left"/>
            </w:pPr>
            <w:r>
              <w:rPr>
                <w:rFonts w:ascii="Calibri" w:hAnsi="Calibri"/>
                <w:b w:val="0"/>
                <w:color w:val="1F2937"/>
                <w:sz w:val="18"/>
              </w:rPr>
              <w:t>Break</w:t>
            </w:r>
          </w:p>
        </w:tc>
        <w:tc>
          <w:tcPr>
            <w:tcW w:type="dxa" w:w="3640"/>
          </w:tcPr>
          <w:p>
            <w:pPr>
              <w:spacing w:after="0" w:line="259" w:lineRule="auto"/>
              <w:jc w:val="left"/>
            </w:pPr>
            <w:r>
              <w:rPr>
                <w:rFonts w:ascii="Calibri" w:hAnsi="Calibri"/>
                <w:b w:val="0"/>
                <w:color w:val="1F2937"/>
                <w:sz w:val="18"/>
              </w:rPr>
              <w:t>Reset. Write down only a few notes, hydrate, and do not replay the previous round.</w:t>
            </w:r>
          </w:p>
        </w:tc>
      </w:tr>
      <w:tr>
        <w:trPr>
          <w:cantSplit w:val="true"/>
        </w:trPr>
        <w:tc>
          <w:tcPr>
            <w:tcW w:type="dxa" w:w="1450"/>
          </w:tcPr>
          <w:p>
            <w:pPr>
              <w:spacing w:after="0" w:line="259" w:lineRule="auto"/>
              <w:jc w:val="left"/>
            </w:pPr>
            <w:r>
              <w:rPr>
                <w:rFonts w:ascii="Calibri" w:hAnsi="Calibri"/>
                <w:b/>
                <w:color w:val="1F2937"/>
                <w:sz w:val="18"/>
              </w:rPr>
              <w:t>1:15-1:45 PM</w:t>
            </w:r>
          </w:p>
        </w:tc>
        <w:tc>
          <w:tcPr>
            <w:tcW w:type="dxa" w:w="2200"/>
          </w:tcPr>
          <w:p>
            <w:pPr>
              <w:spacing w:after="0" w:line="259" w:lineRule="auto"/>
              <w:jc w:val="left"/>
            </w:pPr>
            <w:r>
              <w:rPr>
                <w:rFonts w:ascii="Calibri" w:hAnsi="Calibri"/>
                <w:b w:val="0"/>
                <w:color w:val="1F2937"/>
                <w:sz w:val="18"/>
              </w:rPr>
              <w:t>Guruprasad Partha Sarathy</w:t>
              <w:br/>
              <w:t>Senior Software Engineer</w:t>
            </w:r>
          </w:p>
        </w:tc>
        <w:tc>
          <w:tcPr>
            <w:tcW w:type="dxa" w:w="2070"/>
          </w:tcPr>
          <w:p>
            <w:pPr>
              <w:spacing w:after="0" w:line="259" w:lineRule="auto"/>
              <w:jc w:val="left"/>
            </w:pPr>
            <w:r>
              <w:rPr>
                <w:rFonts w:ascii="Calibri" w:hAnsi="Calibri"/>
                <w:b w:val="0"/>
                <w:color w:val="1F2937"/>
                <w:sz w:val="18"/>
              </w:rPr>
              <w:t>Collaboration and values</w:t>
            </w:r>
          </w:p>
        </w:tc>
        <w:tc>
          <w:tcPr>
            <w:tcW w:type="dxa" w:w="3640"/>
          </w:tcPr>
          <w:p>
            <w:pPr>
              <w:spacing w:after="0" w:line="259" w:lineRule="auto"/>
              <w:jc w:val="left"/>
            </w:pPr>
            <w:r>
              <w:rPr>
                <w:rFonts w:ascii="Calibri" w:hAnsi="Calibri"/>
                <w:b w:val="0"/>
                <w:color w:val="1F2937"/>
                <w:sz w:val="18"/>
              </w:rPr>
              <w:t>Conflict, ambiguity, roadmap change, influence, accountability, candid communication.</w:t>
            </w:r>
          </w:p>
        </w:tc>
      </w:tr>
    </w:tbl>
    <w:p>
      <w:pPr>
        <w:spacing w:before="80" w:after="80"/>
      </w:pPr>
      <w:r>
        <w:rPr>
          <w:rFonts w:ascii="Calibri" w:hAnsi="Calibri"/>
          <w:i/>
          <w:color w:val="5F6B7A"/>
          <w:sz w:val="17"/>
        </w:rPr>
        <w:t>Source: Ripple calendar invitation and onsite confirmation received July 20, 2026.</w:t>
      </w:r>
    </w:p>
    <w:p>
      <w:pPr>
        <w:spacing w:before="100" w:after="160" w:line="283" w:lineRule="auto"/>
        <w:ind w:left="173" w:right="115"/>
        <w:shd w:fill="FDECEC" w:val="clear"/>
        <w:pBdr>
          <w:left w:val="single" w:sz="18" w:space="8" w:color="9B1C1C"/>
        </w:pBdr>
      </w:pPr>
      <w:r>
        <w:rPr>
          <w:rFonts w:ascii="Calibri" w:hAnsi="Calibri"/>
          <w:b/>
          <w:color w:val="9B1C1C"/>
          <w:sz w:val="21"/>
        </w:rPr>
        <w:t xml:space="preserve">Timezone guardrail  </w:t>
      </w:r>
      <w:r>
        <w:rPr>
          <w:rFonts w:ascii="Calibri" w:hAnsi="Calibri"/>
          <w:color w:val="1F2937"/>
          <w:sz w:val="21"/>
        </w:rPr>
        <w:t>Treat 11:00 AM Pacific as the start time. The calendar email also rendered the event as 2:00-4:45 PM Eastern. Check your device timezone before leaving and arrive around 10:40-10:45 AM Pacific.</w:t>
      </w:r>
    </w:p>
    <w:p>
      <w:pPr>
        <w:pStyle w:val="Heading2"/>
      </w:pPr>
      <w:r>
        <w:t>Day-of facts</w:t>
      </w:r>
    </w:p>
    <w:p>
      <w:pPr>
        <w:numPr>
          <w:ilvl w:val="0"/>
          <w:numId w:val="10"/>
        </w:numPr>
        <w:spacing w:after="80" w:line="300" w:lineRule="auto"/>
      </w:pPr>
      <w:r>
        <w:rPr>
          <w:rFonts w:ascii="Calibri" w:hAnsi="Calibri"/>
          <w:color w:val="1F2937"/>
          <w:sz w:val="21"/>
        </w:rPr>
        <w:t>Location: Ripple HQ, 600 Battery Street, San Francisco; main entrance at Battery Street and Pacific Avenue.</w:t>
      </w:r>
    </w:p>
    <w:p>
      <w:pPr>
        <w:numPr>
          <w:ilvl w:val="0"/>
          <w:numId w:val="10"/>
        </w:numPr>
        <w:spacing w:after="80" w:line="300" w:lineRule="auto"/>
      </w:pPr>
      <w:r>
        <w:rPr>
          <w:rFonts w:ascii="Calibri" w:hAnsi="Calibri"/>
          <w:color w:val="1F2937"/>
          <w:sz w:val="21"/>
        </w:rPr>
        <w:t>Bring your personal laptop and charger. The available loaner is a Chromebook, and Ripple asks for at least 48 hours' notice if you need one.</w:t>
      </w:r>
    </w:p>
    <w:p>
      <w:pPr>
        <w:numPr>
          <w:ilvl w:val="0"/>
          <w:numId w:val="10"/>
        </w:numPr>
        <w:spacing w:after="80" w:line="300" w:lineRule="auto"/>
      </w:pPr>
      <w:r>
        <w:rPr>
          <w:rFonts w:ascii="Calibri" w:hAnsi="Calibri"/>
          <w:color w:val="1F2937"/>
          <w:sz w:val="21"/>
        </w:rPr>
        <w:t>Both technical sessions use CoderPad; system design uses its whiteboard/diagramming surface. Rehearse switching between code and diagrams.</w:t>
      </w:r>
    </w:p>
    <w:p>
      <w:pPr>
        <w:numPr>
          <w:ilvl w:val="0"/>
          <w:numId w:val="10"/>
        </w:numPr>
        <w:spacing w:after="80" w:line="300" w:lineRule="auto"/>
      </w:pPr>
      <w:r>
        <w:rPr>
          <w:rFonts w:ascii="Calibri" w:hAnsi="Calibri"/>
          <w:color w:val="1F2937"/>
          <w:sz w:val="21"/>
        </w:rPr>
        <w:t>Wi-Fi credentials arrive by Envoy text after front-desk check-in. Use the same email as the invitation.</w:t>
      </w:r>
    </w:p>
    <w:p>
      <w:pPr>
        <w:numPr>
          <w:ilvl w:val="0"/>
          <w:numId w:val="10"/>
        </w:numPr>
        <w:spacing w:after="80" w:line="300" w:lineRule="auto"/>
      </w:pPr>
      <w:r>
        <w:rPr>
          <w:rFonts w:ascii="Calibri" w:hAnsi="Calibri"/>
          <w:color w:val="1F2937"/>
          <w:sz w:val="21"/>
        </w:rPr>
        <w:t>Complete the NDA before the visit and confirm the calendar invitation. This guide intentionally omits meeting credentials and private links.</w:t>
      </w:r>
    </w:p>
    <w:p>
      <w:pPr>
        <w:numPr>
          <w:ilvl w:val="0"/>
          <w:numId w:val="10"/>
        </w:numPr>
        <w:spacing w:after="80" w:line="300" w:lineRule="auto"/>
      </w:pPr>
      <w:r>
        <w:rPr>
          <w:rFonts w:ascii="Calibri" w:hAnsi="Calibri"/>
          <w:color w:val="1F2937"/>
          <w:sz w:val="21"/>
        </w:rPr>
        <w:t>Bring a government ID, water, a compact notebook, and a backup way to tether if your laptop network setup is unusual.</w:t>
      </w:r>
    </w:p>
    <w:p>
      <w:pPr>
        <w:pStyle w:val="Heading1"/>
      </w:pPr>
      <w:r>
        <w:t>2. Role thesis and your fit</w:t>
      </w:r>
    </w:p>
    <w:p>
      <w:pPr>
        <w:spacing w:after="120" w:line="300" w:lineRule="auto"/>
      </w:pPr>
      <w:r>
        <w:rPr>
          <w:rFonts w:ascii="Calibri" w:hAnsi="Calibri"/>
          <w:i w:val="0"/>
          <w:color w:val="1F2937"/>
          <w:sz w:val="22"/>
        </w:rPr>
        <w:t>Ripple's Identity &amp; Trust Platform is intended to become the foundation for a "One Ripple" experience: an authoritative model for customers, legal entities, users, verification/compliance context, and product entitlements while legacy systems are migrated safely. This is a backend platform and migration role, not a blockchain-protocol role.</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080"/>
        <w:gridCol w:w="2990"/>
        <w:gridCol w:w="4290"/>
      </w:tblGrid>
      <w:tr>
        <w:trPr>
          <w:tblHeader w:val="true"/>
          <w:cantSplit w:val="true"/>
        </w:trPr>
        <w:tc>
          <w:tcPr>
            <w:tcW w:type="dxa" w:w="208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Role need</w:t>
            </w:r>
          </w:p>
        </w:tc>
        <w:tc>
          <w:tcPr>
            <w:tcW w:type="dxa" w:w="299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Your strongest evidence</w:t>
            </w:r>
          </w:p>
        </w:tc>
        <w:tc>
          <w:tcPr>
            <w:tcW w:type="dxa" w:w="429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Interview bridge</w:t>
            </w:r>
          </w:p>
        </w:tc>
      </w:tr>
      <w:tr>
        <w:trPr>
          <w:cantSplit w:val="true"/>
        </w:trPr>
        <w:tc>
          <w:tcPr>
            <w:tcW w:type="dxa" w:w="2080"/>
          </w:tcPr>
          <w:p>
            <w:pPr>
              <w:spacing w:after="0" w:line="259" w:lineRule="auto"/>
              <w:jc w:val="left"/>
            </w:pPr>
            <w:r>
              <w:rPr>
                <w:rFonts w:ascii="Calibri" w:hAnsi="Calibri"/>
                <w:b/>
                <w:color w:val="1F2937"/>
                <w:sz w:val="17"/>
              </w:rPr>
              <w:t>Canonical identity/customer data</w:t>
            </w:r>
          </w:p>
        </w:tc>
        <w:tc>
          <w:tcPr>
            <w:tcW w:type="dxa" w:w="2990"/>
          </w:tcPr>
          <w:p>
            <w:pPr>
              <w:spacing w:after="0" w:line="259" w:lineRule="auto"/>
              <w:jc w:val="left"/>
            </w:pPr>
            <w:r>
              <w:rPr>
                <w:rFonts w:ascii="Calibri" w:hAnsi="Calibri"/>
                <w:b w:val="0"/>
                <w:color w:val="1F2937"/>
                <w:sz w:val="17"/>
              </w:rPr>
              <w:t>Unified user profiles with multi-source ingestion and real-time embeddings</w:t>
            </w:r>
          </w:p>
        </w:tc>
        <w:tc>
          <w:tcPr>
            <w:tcW w:type="dxa" w:w="4290"/>
          </w:tcPr>
          <w:p>
            <w:pPr>
              <w:spacing w:after="0" w:line="259" w:lineRule="auto"/>
              <w:jc w:val="left"/>
            </w:pPr>
            <w:r>
              <w:rPr>
                <w:rFonts w:ascii="Calibri" w:hAnsi="Calibri"/>
                <w:b w:val="0"/>
                <w:color w:val="1F2937"/>
                <w:sz w:val="17"/>
              </w:rPr>
              <w:t>Discuss identifiers, schema ownership, provenance, duplicates, lifecycle, data quality, and the difference between an analytical profile and an authoritative record.</w:t>
            </w:r>
          </w:p>
        </w:tc>
      </w:tr>
      <w:tr>
        <w:trPr>
          <w:cantSplit w:val="true"/>
        </w:trPr>
        <w:tc>
          <w:tcPr>
            <w:tcW w:type="dxa" w:w="2080"/>
          </w:tcPr>
          <w:p>
            <w:pPr>
              <w:spacing w:after="0" w:line="259" w:lineRule="auto"/>
              <w:jc w:val="left"/>
            </w:pPr>
            <w:r>
              <w:rPr>
                <w:rFonts w:ascii="Calibri" w:hAnsi="Calibri"/>
                <w:b/>
                <w:color w:val="1F2937"/>
                <w:sz w:val="17"/>
              </w:rPr>
              <w:t>Cross-product platform contracts</w:t>
            </w:r>
          </w:p>
        </w:tc>
        <w:tc>
          <w:tcPr>
            <w:tcW w:type="dxa" w:w="2990"/>
          </w:tcPr>
          <w:p>
            <w:pPr>
              <w:spacing w:after="0" w:line="259" w:lineRule="auto"/>
              <w:jc w:val="left"/>
            </w:pPr>
            <w:r>
              <w:rPr>
                <w:rFonts w:ascii="Calibri" w:hAnsi="Calibri"/>
                <w:b w:val="0"/>
                <w:color w:val="1F2937"/>
                <w:sz w:val="17"/>
              </w:rPr>
              <w:t>Cross-regional recommendation platform using gRPC, Vespa, and OpenSearch</w:t>
            </w:r>
          </w:p>
        </w:tc>
        <w:tc>
          <w:tcPr>
            <w:tcW w:type="dxa" w:w="4290"/>
          </w:tcPr>
          <w:p>
            <w:pPr>
              <w:spacing w:after="0" w:line="259" w:lineRule="auto"/>
              <w:jc w:val="left"/>
            </w:pPr>
            <w:r>
              <w:rPr>
                <w:rFonts w:ascii="Calibri" w:hAnsi="Calibri"/>
                <w:b w:val="0"/>
                <w:color w:val="1F2937"/>
                <w:sz w:val="17"/>
              </w:rPr>
              <w:t>Explain contract versioning, legacy replacement, migration sequencing, consumer alignment, and operational ownership.</w:t>
            </w:r>
          </w:p>
        </w:tc>
      </w:tr>
      <w:tr>
        <w:trPr>
          <w:cantSplit w:val="true"/>
        </w:trPr>
        <w:tc>
          <w:tcPr>
            <w:tcW w:type="dxa" w:w="2080"/>
          </w:tcPr>
          <w:p>
            <w:pPr>
              <w:spacing w:after="0" w:line="259" w:lineRule="auto"/>
              <w:jc w:val="left"/>
            </w:pPr>
            <w:r>
              <w:rPr>
                <w:rFonts w:ascii="Calibri" w:hAnsi="Calibri"/>
                <w:b/>
                <w:color w:val="1F2937"/>
                <w:sz w:val="17"/>
              </w:rPr>
              <w:t>Event-driven services</w:t>
            </w:r>
          </w:p>
        </w:tc>
        <w:tc>
          <w:tcPr>
            <w:tcW w:type="dxa" w:w="2990"/>
          </w:tcPr>
          <w:p>
            <w:pPr>
              <w:spacing w:after="0" w:line="259" w:lineRule="auto"/>
              <w:jc w:val="left"/>
            </w:pPr>
            <w:r>
              <w:rPr>
                <w:rFonts w:ascii="Calibri" w:hAnsi="Calibri"/>
                <w:b w:val="0"/>
                <w:color w:val="1F2937"/>
                <w:sz w:val="17"/>
              </w:rPr>
              <w:t>Kafka consumer pipeline for targeted offers; $10M incremental revenue</w:t>
            </w:r>
          </w:p>
        </w:tc>
        <w:tc>
          <w:tcPr>
            <w:tcW w:type="dxa" w:w="4290"/>
          </w:tcPr>
          <w:p>
            <w:pPr>
              <w:spacing w:after="0" w:line="259" w:lineRule="auto"/>
              <w:jc w:val="left"/>
            </w:pPr>
            <w:r>
              <w:rPr>
                <w:rFonts w:ascii="Calibri" w:hAnsi="Calibri"/>
                <w:b w:val="0"/>
                <w:color w:val="1F2937"/>
                <w:sz w:val="17"/>
              </w:rPr>
              <w:t>Connect at-least-once delivery, idempotency, ordering, replay, dead letters, and measurable business impact.</w:t>
            </w:r>
          </w:p>
        </w:tc>
      </w:tr>
      <w:tr>
        <w:trPr>
          <w:cantSplit w:val="true"/>
        </w:trPr>
        <w:tc>
          <w:tcPr>
            <w:tcW w:type="dxa" w:w="2080"/>
          </w:tcPr>
          <w:p>
            <w:pPr>
              <w:spacing w:after="0" w:line="259" w:lineRule="auto"/>
              <w:jc w:val="left"/>
            </w:pPr>
            <w:r>
              <w:rPr>
                <w:rFonts w:ascii="Calibri" w:hAnsi="Calibri"/>
                <w:b/>
                <w:color w:val="1F2937"/>
                <w:sz w:val="17"/>
              </w:rPr>
              <w:t>AWS and distributed data</w:t>
            </w:r>
          </w:p>
        </w:tc>
        <w:tc>
          <w:tcPr>
            <w:tcW w:type="dxa" w:w="2990"/>
          </w:tcPr>
          <w:p>
            <w:pPr>
              <w:spacing w:after="0" w:line="259" w:lineRule="auto"/>
              <w:jc w:val="left"/>
            </w:pPr>
            <w:r>
              <w:rPr>
                <w:rFonts w:ascii="Calibri" w:hAnsi="Calibri"/>
                <w:b w:val="0"/>
                <w:color w:val="1F2937"/>
                <w:sz w:val="17"/>
              </w:rPr>
              <w:t>EMR, Glue, OpenSearch, Athena, Redshift, Kubernetes, Docker</w:t>
            </w:r>
          </w:p>
        </w:tc>
        <w:tc>
          <w:tcPr>
            <w:tcW w:type="dxa" w:w="4290"/>
          </w:tcPr>
          <w:p>
            <w:pPr>
              <w:spacing w:after="0" w:line="259" w:lineRule="auto"/>
              <w:jc w:val="left"/>
            </w:pPr>
            <w:r>
              <w:rPr>
                <w:rFonts w:ascii="Calibri" w:hAnsi="Calibri"/>
                <w:b w:val="0"/>
                <w:color w:val="1F2937"/>
                <w:sz w:val="17"/>
              </w:rPr>
              <w:t>Focus on production design, SLOs, capacity, cost, recovery, and observability rather than listing services.</w:t>
            </w:r>
          </w:p>
        </w:tc>
      </w:tr>
      <w:tr>
        <w:trPr>
          <w:cantSplit w:val="true"/>
        </w:trPr>
        <w:tc>
          <w:tcPr>
            <w:tcW w:type="dxa" w:w="2080"/>
          </w:tcPr>
          <w:p>
            <w:pPr>
              <w:spacing w:after="0" w:line="259" w:lineRule="auto"/>
              <w:jc w:val="left"/>
            </w:pPr>
            <w:r>
              <w:rPr>
                <w:rFonts w:ascii="Calibri" w:hAnsi="Calibri"/>
                <w:b/>
                <w:color w:val="1F2937"/>
                <w:sz w:val="17"/>
              </w:rPr>
              <w:t>Java/Spring and API delivery</w:t>
            </w:r>
          </w:p>
        </w:tc>
        <w:tc>
          <w:tcPr>
            <w:tcW w:type="dxa" w:w="2990"/>
          </w:tcPr>
          <w:p>
            <w:pPr>
              <w:spacing w:after="0" w:line="259" w:lineRule="auto"/>
              <w:jc w:val="left"/>
            </w:pPr>
            <w:r>
              <w:rPr>
                <w:rFonts w:ascii="Calibri" w:hAnsi="Calibri"/>
                <w:b w:val="0"/>
                <w:color w:val="1F2937"/>
                <w:sz w:val="17"/>
              </w:rPr>
              <w:t>QuickBooks pricing platform with Spring Boot; REST/gRPC experience</w:t>
            </w:r>
          </w:p>
        </w:tc>
        <w:tc>
          <w:tcPr>
            <w:tcW w:type="dxa" w:w="4290"/>
          </w:tcPr>
          <w:p>
            <w:pPr>
              <w:spacing w:after="0" w:line="259" w:lineRule="auto"/>
              <w:jc w:val="left"/>
            </w:pPr>
            <w:r>
              <w:rPr>
                <w:rFonts w:ascii="Calibri" w:hAnsi="Calibri"/>
                <w:b w:val="0"/>
                <w:color w:val="1F2937"/>
                <w:sz w:val="17"/>
              </w:rPr>
              <w:t>Choose Java for coding only if it is still your fastest accurate language. Be ready to discuss stable contracts and dependency injection.</w:t>
            </w:r>
          </w:p>
        </w:tc>
      </w:tr>
      <w:tr>
        <w:trPr>
          <w:cantSplit w:val="true"/>
        </w:trPr>
        <w:tc>
          <w:tcPr>
            <w:tcW w:type="dxa" w:w="2080"/>
          </w:tcPr>
          <w:p>
            <w:pPr>
              <w:spacing w:after="0" w:line="259" w:lineRule="auto"/>
              <w:jc w:val="left"/>
            </w:pPr>
            <w:r>
              <w:rPr>
                <w:rFonts w:ascii="Calibri" w:hAnsi="Calibri"/>
                <w:b/>
                <w:color w:val="1F2937"/>
                <w:sz w:val="17"/>
              </w:rPr>
              <w:t>Technical leadership</w:t>
            </w:r>
          </w:p>
        </w:tc>
        <w:tc>
          <w:tcPr>
            <w:tcW w:type="dxa" w:w="2990"/>
          </w:tcPr>
          <w:p>
            <w:pPr>
              <w:spacing w:after="0" w:line="259" w:lineRule="auto"/>
              <w:jc w:val="left"/>
            </w:pPr>
            <w:r>
              <w:rPr>
                <w:rFonts w:ascii="Calibri" w:hAnsi="Calibri"/>
                <w:b w:val="0"/>
                <w:color w:val="1F2937"/>
                <w:sz w:val="17"/>
              </w:rPr>
              <w:t>Led five engineers on a bulk-content system; 1,400% capacity increase</w:t>
            </w:r>
          </w:p>
        </w:tc>
        <w:tc>
          <w:tcPr>
            <w:tcW w:type="dxa" w:w="4290"/>
          </w:tcPr>
          <w:p>
            <w:pPr>
              <w:spacing w:after="0" w:line="259" w:lineRule="auto"/>
              <w:jc w:val="left"/>
            </w:pPr>
            <w:r>
              <w:rPr>
                <w:rFonts w:ascii="Calibri" w:hAnsi="Calibri"/>
                <w:b w:val="0"/>
                <w:color w:val="1F2937"/>
                <w:sz w:val="17"/>
              </w:rPr>
              <w:t>Show decomposition, milestones, risk management, code-review standards, unblocking, and what you personally implemented.</w:t>
            </w:r>
          </w:p>
        </w:tc>
      </w:tr>
      <w:tr>
        <w:trPr>
          <w:cantSplit w:val="true"/>
        </w:trPr>
        <w:tc>
          <w:tcPr>
            <w:tcW w:type="dxa" w:w="2080"/>
          </w:tcPr>
          <w:p>
            <w:pPr>
              <w:spacing w:after="0" w:line="259" w:lineRule="auto"/>
              <w:jc w:val="left"/>
            </w:pPr>
            <w:r>
              <w:rPr>
                <w:rFonts w:ascii="Calibri" w:hAnsi="Calibri"/>
                <w:b/>
                <w:color w:val="1F2937"/>
                <w:sz w:val="17"/>
              </w:rPr>
              <w:t>Critical customer workflows</w:t>
            </w:r>
          </w:p>
        </w:tc>
        <w:tc>
          <w:tcPr>
            <w:tcW w:type="dxa" w:w="2990"/>
          </w:tcPr>
          <w:p>
            <w:pPr>
              <w:spacing w:after="0" w:line="259" w:lineRule="auto"/>
              <w:jc w:val="left"/>
            </w:pPr>
            <w:r>
              <w:rPr>
                <w:rFonts w:ascii="Calibri" w:hAnsi="Calibri"/>
                <w:b w:val="0"/>
                <w:color w:val="1F2937"/>
                <w:sz w:val="17"/>
              </w:rPr>
              <w:t>TurboTax onboarding OCR; QuickBooks eligibility/pricing systems</w:t>
            </w:r>
          </w:p>
        </w:tc>
        <w:tc>
          <w:tcPr>
            <w:tcW w:type="dxa" w:w="4290"/>
          </w:tcPr>
          <w:p>
            <w:pPr>
              <w:spacing w:after="0" w:line="259" w:lineRule="auto"/>
              <w:jc w:val="left"/>
            </w:pPr>
            <w:r>
              <w:rPr>
                <w:rFonts w:ascii="Calibri" w:hAnsi="Calibri"/>
                <w:b w:val="0"/>
                <w:color w:val="1F2937"/>
                <w:sz w:val="17"/>
              </w:rPr>
              <w:t>Use these as adjacent evidence for correctness and customer impact, but do not claim KYC/KYB or compliance ownership that you did not have.</w:t>
            </w:r>
          </w:p>
        </w:tc>
      </w:tr>
    </w:tbl>
    <w:p>
      <w:pPr>
        <w:spacing w:before="80" w:after="80"/>
      </w:pPr>
      <w:r>
        <w:rPr>
          <w:rFonts w:ascii="Calibri" w:hAnsi="Calibri"/>
          <w:i/>
          <w:color w:val="5F6B7A"/>
          <w:sz w:val="17"/>
        </w:rPr>
        <w:t>Candidate evidence is drawn from the June 2026 resume attached in your recruiter thread. Add only details you can defend.</w:t>
      </w:r>
    </w:p>
    <w:p>
      <w:pPr>
        <w:pStyle w:val="Heading2"/>
      </w:pPr>
      <w:r>
        <w:t>The gap to handle directly</w:t>
      </w:r>
    </w:p>
    <w:p>
      <w:pPr>
        <w:spacing w:before="100" w:after="160" w:line="283" w:lineRule="auto"/>
        <w:ind w:left="173" w:right="115"/>
        <w:shd w:fill="FFF8E8" w:val="clear"/>
        <w:pBdr>
          <w:left w:val="single" w:sz="18" w:space="8" w:color="7A5A00"/>
        </w:pBdr>
      </w:pPr>
      <w:r>
        <w:rPr>
          <w:rFonts w:ascii="Calibri" w:hAnsi="Calibri"/>
          <w:b/>
          <w:color w:val="7A5A00"/>
          <w:sz w:val="21"/>
        </w:rPr>
        <w:t xml:space="preserve">Do not bluff domain depth  </w:t>
      </w:r>
      <w:r>
        <w:rPr>
          <w:rFonts w:ascii="Calibri" w:hAnsi="Calibri"/>
          <w:color w:val="1F2937"/>
          <w:sz w:val="21"/>
        </w:rPr>
        <w:t>Your resume does not claim direct KYC, KYB, sanctions, or identity-authorization ownership. Say so cleanly, then demonstrate how you would reason about evidence provenance, versioned decisions, PII, auditability, least privilege, idempotent vendor callbacks, revocation, and jurisdiction/product scope.</w:t>
      </w:r>
    </w:p>
    <w:p>
      <w:pPr>
        <w:spacing w:before="100" w:after="160" w:line="288" w:lineRule="auto"/>
        <w:ind w:left="432" w:right="360"/>
        <w:shd w:fill="F4F6F9" w:val="clear"/>
        <w:pBdr>
          <w:left w:val="single" w:sz="18" w:space="8" w:color="2E74B5"/>
        </w:pBdr>
      </w:pPr>
      <w:r>
        <w:rPr>
          <w:rFonts w:ascii="Calibri" w:hAnsi="Calibri"/>
          <w:b/>
          <w:color w:val="2E74B5"/>
          <w:sz w:val="19"/>
        </w:rPr>
        <w:t>A strong bridge answer</w:t>
        <w:br/>
      </w:r>
      <w:r>
        <w:rPr>
          <w:rFonts w:ascii="Calibri" w:hAnsi="Calibri"/>
          <w:i/>
          <w:color w:val="0B2545"/>
          <w:sz w:val="21"/>
        </w:rPr>
        <w:t>I have not owned a KYB platform directly. The adjacent engineering problems are familiar: reconciling identities from multiple sources, defining an authoritative model, building stable service contracts, migrating consumers incrementally, and operating event-driven systems under failure. I would pair that platform experience with Compliance's domain ownership and make decisions, evidence, and policy versions explicit and auditable.</w:t>
      </w:r>
    </w:p>
    <w:p>
      <w:pPr>
        <w:pStyle w:val="Heading2"/>
      </w:pPr>
      <w:r>
        <w:t>Choose the flagship project tonight</w:t>
      </w:r>
    </w:p>
    <w:p>
      <w:pPr>
        <w:spacing w:after="120" w:line="300" w:lineRule="auto"/>
      </w:pPr>
      <w:r>
        <w:rPr>
          <w:rFonts w:ascii="Calibri" w:hAnsi="Calibri"/>
          <w:i w:val="0"/>
          <w:color w:val="1F2937"/>
          <w:sz w:val="22"/>
        </w:rPr>
        <w:t>Primary recommendation: use the unified user-profile project only if you can answer every item below with concrete details. Otherwise use the cross-regional recommendation-platform migration as the primary deep dive and keep the profile project as the domain bridge.</w:t>
      </w:r>
    </w:p>
    <w:p>
      <w:pPr>
        <w:numPr>
          <w:ilvl w:val="0"/>
          <w:numId w:val="10"/>
        </w:numPr>
        <w:spacing w:after="80" w:line="300" w:lineRule="auto"/>
      </w:pPr>
      <w:r>
        <w:rPr>
          <w:rFonts w:ascii="Calibri" w:hAnsi="Calibri"/>
          <w:color w:val="1F2937"/>
          <w:sz w:val="21"/>
        </w:rPr>
        <w:t>Your exact ownership and the team/stakeholders involved.</w:t>
      </w:r>
    </w:p>
    <w:p>
      <w:pPr>
        <w:numPr>
          <w:ilvl w:val="0"/>
          <w:numId w:val="10"/>
        </w:numPr>
        <w:spacing w:after="80" w:line="300" w:lineRule="auto"/>
      </w:pPr>
      <w:r>
        <w:rPr>
          <w:rFonts w:ascii="Calibri" w:hAnsi="Calibri"/>
          <w:color w:val="1F2937"/>
          <w:sz w:val="21"/>
        </w:rPr>
        <w:t>The canonical entities, identifiers, merge rules, and source-of-truth boundary.</w:t>
      </w:r>
    </w:p>
    <w:p>
      <w:pPr>
        <w:numPr>
          <w:ilvl w:val="0"/>
          <w:numId w:val="10"/>
        </w:numPr>
        <w:spacing w:after="80" w:line="300" w:lineRule="auto"/>
      </w:pPr>
      <w:r>
        <w:rPr>
          <w:rFonts w:ascii="Calibri" w:hAnsi="Calibri"/>
          <w:color w:val="1F2937"/>
          <w:sz w:val="21"/>
        </w:rPr>
        <w:t>Scale: records, events, throughput, latency, regions, and availability target.</w:t>
      </w:r>
    </w:p>
    <w:p>
      <w:pPr>
        <w:numPr>
          <w:ilvl w:val="0"/>
          <w:numId w:val="10"/>
        </w:numPr>
        <w:spacing w:after="80" w:line="300" w:lineRule="auto"/>
      </w:pPr>
      <w:r>
        <w:rPr>
          <w:rFonts w:ascii="Calibri" w:hAnsi="Calibri"/>
          <w:color w:val="1F2937"/>
          <w:sz w:val="21"/>
        </w:rPr>
        <w:t>One non-obvious architecture decision and the alternative you rejected.</w:t>
      </w:r>
    </w:p>
    <w:p>
      <w:pPr>
        <w:numPr>
          <w:ilvl w:val="0"/>
          <w:numId w:val="10"/>
        </w:numPr>
        <w:spacing w:after="80" w:line="300" w:lineRule="auto"/>
      </w:pPr>
      <w:r>
        <w:rPr>
          <w:rFonts w:ascii="Calibri" w:hAnsi="Calibri"/>
          <w:color w:val="1F2937"/>
          <w:sz w:val="21"/>
        </w:rPr>
        <w:t>Failure handling, observability, testing, rollout, and rollback.</w:t>
      </w:r>
    </w:p>
    <w:p>
      <w:pPr>
        <w:numPr>
          <w:ilvl w:val="0"/>
          <w:numId w:val="10"/>
        </w:numPr>
        <w:spacing w:after="80" w:line="300" w:lineRule="auto"/>
      </w:pPr>
      <w:r>
        <w:rPr>
          <w:rFonts w:ascii="Calibri" w:hAnsi="Calibri"/>
          <w:color w:val="1F2937"/>
          <w:sz w:val="21"/>
        </w:rPr>
        <w:t>A measurable outcome. Do not enter the onsite with the flagship project's impact left vague.</w:t>
      </w:r>
    </w:p>
    <w:p>
      <w:pPr>
        <w:numPr>
          <w:ilvl w:val="0"/>
          <w:numId w:val="10"/>
        </w:numPr>
        <w:spacing w:after="80" w:line="300" w:lineRule="auto"/>
      </w:pPr>
      <w:r>
        <w:rPr>
          <w:rFonts w:ascii="Calibri" w:hAnsi="Calibri"/>
          <w:color w:val="1F2937"/>
          <w:sz w:val="21"/>
        </w:rPr>
        <w:t>A mistake, surprise, or tradeoff you would handle differently now.</w:t>
      </w:r>
    </w:p>
    <w:p>
      <w:pPr>
        <w:pStyle w:val="Heading1"/>
      </w:pPr>
      <w:r>
        <w:t>3. The 72-hour preparation plan</w:t>
      </w:r>
    </w:p>
    <w:p>
      <w:pPr>
        <w:spacing w:before="100" w:after="160" w:line="283" w:lineRule="auto"/>
        <w:ind w:left="173" w:right="115"/>
        <w:shd w:fill="FFF8E8" w:val="clear"/>
        <w:pBdr>
          <w:left w:val="single" w:sz="18" w:space="8" w:color="7A5A00"/>
        </w:pBdr>
      </w:pPr>
      <w:r>
        <w:rPr>
          <w:rFonts w:ascii="Calibri" w:hAnsi="Calibri"/>
          <w:b/>
          <w:color w:val="7A5A00"/>
          <w:sz w:val="21"/>
        </w:rPr>
        <w:t xml:space="preserve">Priority order  </w:t>
      </w:r>
      <w:r>
        <w:rPr>
          <w:rFonts w:ascii="Calibri" w:hAnsi="Calibri"/>
          <w:color w:val="1F2937"/>
          <w:sz w:val="21"/>
        </w:rPr>
        <w:t>One full design mock, one full coding mock, and six defensible stories beat broad passive study. Rehearse in the same order and tools as the onsite.</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500"/>
        <w:gridCol w:w="1700"/>
        <w:gridCol w:w="6160"/>
      </w:tblGrid>
      <w:tr>
        <w:trPr>
          <w:tblHeader w:val="true"/>
          <w:cantSplit w:val="true"/>
        </w:trPr>
        <w:tc>
          <w:tcPr>
            <w:tcW w:type="dxa" w:w="15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When</w:t>
            </w:r>
          </w:p>
        </w:tc>
        <w:tc>
          <w:tcPr>
            <w:tcW w:type="dxa" w:w="17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Block</w:t>
            </w:r>
          </w:p>
        </w:tc>
        <w:tc>
          <w:tcPr>
            <w:tcW w:type="dxa" w:w="616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Output - not just activity</w:t>
            </w:r>
          </w:p>
        </w:tc>
      </w:tr>
      <w:tr>
        <w:trPr>
          <w:cantSplit w:val="true"/>
        </w:trPr>
        <w:tc>
          <w:tcPr>
            <w:tcW w:type="dxa" w:w="1500"/>
          </w:tcPr>
          <w:p>
            <w:pPr>
              <w:spacing w:after="0" w:line="259" w:lineRule="auto"/>
              <w:jc w:val="left"/>
            </w:pPr>
            <w:r>
              <w:rPr>
                <w:rFonts w:ascii="Calibri" w:hAnsi="Calibri"/>
                <w:b/>
                <w:color w:val="1F2937"/>
                <w:sz w:val="18"/>
              </w:rPr>
              <w:t>Mon, Jul 20</w:t>
              <w:br/>
              <w:t>2.5-3 hours</w:t>
            </w:r>
          </w:p>
        </w:tc>
        <w:tc>
          <w:tcPr>
            <w:tcW w:type="dxa" w:w="1700"/>
          </w:tcPr>
          <w:p>
            <w:pPr>
              <w:spacing w:after="0" w:line="259" w:lineRule="auto"/>
              <w:jc w:val="left"/>
            </w:pPr>
            <w:r>
              <w:rPr>
                <w:rFonts w:ascii="Calibri" w:hAnsi="Calibri"/>
                <w:b w:val="0"/>
                <w:color w:val="1F2937"/>
                <w:sz w:val="18"/>
              </w:rPr>
              <w:t>Project + baseline</w:t>
            </w:r>
          </w:p>
        </w:tc>
        <w:tc>
          <w:tcPr>
            <w:tcW w:type="dxa" w:w="6160"/>
          </w:tcPr>
          <w:p>
            <w:pPr>
              <w:spacing w:after="0" w:line="259" w:lineRule="auto"/>
              <w:jc w:val="left"/>
            </w:pPr>
            <w:r>
              <w:rPr>
                <w:rFonts w:ascii="Calibri" w:hAnsi="Calibri"/>
                <w:b w:val="0"/>
                <w:color w:val="1F2937"/>
                <w:sz w:val="18"/>
              </w:rPr>
              <w:t>Select flagship and backup projects; fill missing metrics. Rehearse a 2-minute overview. Do a 45-minute CoderPad OOP baseline and note defects. Verify NDA and logistics.</w:t>
            </w:r>
          </w:p>
        </w:tc>
      </w:tr>
      <w:tr>
        <w:trPr>
          <w:cantSplit w:val="true"/>
        </w:trPr>
        <w:tc>
          <w:tcPr>
            <w:tcW w:type="dxa" w:w="1500"/>
          </w:tcPr>
          <w:p>
            <w:pPr>
              <w:spacing w:after="0" w:line="259" w:lineRule="auto"/>
              <w:jc w:val="left"/>
            </w:pPr>
            <w:r>
              <w:rPr>
                <w:rFonts w:ascii="Calibri" w:hAnsi="Calibri"/>
                <w:b/>
                <w:color w:val="1F2937"/>
                <w:sz w:val="18"/>
              </w:rPr>
              <w:t>Tue, Jul 21</w:t>
              <w:br/>
              <w:t>4-5 hours</w:t>
            </w:r>
          </w:p>
        </w:tc>
        <w:tc>
          <w:tcPr>
            <w:tcW w:type="dxa" w:w="1700"/>
          </w:tcPr>
          <w:p>
            <w:pPr>
              <w:spacing w:after="0" w:line="259" w:lineRule="auto"/>
              <w:jc w:val="left"/>
            </w:pPr>
            <w:r>
              <w:rPr>
                <w:rFonts w:ascii="Calibri" w:hAnsi="Calibri"/>
                <w:b w:val="0"/>
                <w:color w:val="1F2937"/>
                <w:sz w:val="18"/>
              </w:rPr>
              <w:t>Deep practice</w:t>
            </w:r>
          </w:p>
        </w:tc>
        <w:tc>
          <w:tcPr>
            <w:tcW w:type="dxa" w:w="6160"/>
          </w:tcPr>
          <w:p>
            <w:pPr>
              <w:spacing w:after="0" w:line="259" w:lineRule="auto"/>
              <w:jc w:val="left"/>
            </w:pPr>
            <w:r>
              <w:rPr>
                <w:rFonts w:ascii="Calibri" w:hAnsi="Calibri"/>
                <w:b w:val="0"/>
                <w:color w:val="1F2937"/>
                <w:sz w:val="18"/>
              </w:rPr>
              <w:t>Run a 60-minute Identity Platform design mock and critique it against the rubric. Implement the entitlement evaluator with tests. Draft six LEGGOS stories and the 75-second Why Ripple answer.</w:t>
            </w:r>
          </w:p>
        </w:tc>
      </w:tr>
      <w:tr>
        <w:trPr>
          <w:cantSplit w:val="true"/>
        </w:trPr>
        <w:tc>
          <w:tcPr>
            <w:tcW w:type="dxa" w:w="1500"/>
          </w:tcPr>
          <w:p>
            <w:pPr>
              <w:spacing w:after="0" w:line="259" w:lineRule="auto"/>
              <w:jc w:val="left"/>
            </w:pPr>
            <w:r>
              <w:rPr>
                <w:rFonts w:ascii="Calibri" w:hAnsi="Calibri"/>
                <w:b/>
                <w:color w:val="1F2937"/>
                <w:sz w:val="18"/>
              </w:rPr>
              <w:t>Wed, Jul 22</w:t>
              <w:br/>
              <w:t>4-5 hours</w:t>
            </w:r>
          </w:p>
        </w:tc>
        <w:tc>
          <w:tcPr>
            <w:tcW w:type="dxa" w:w="1700"/>
          </w:tcPr>
          <w:p>
            <w:pPr>
              <w:spacing w:after="0" w:line="259" w:lineRule="auto"/>
              <w:jc w:val="left"/>
            </w:pPr>
            <w:r>
              <w:rPr>
                <w:rFonts w:ascii="Calibri" w:hAnsi="Calibri"/>
                <w:b w:val="0"/>
                <w:color w:val="1F2937"/>
                <w:sz w:val="18"/>
              </w:rPr>
              <w:t>Dress rehearsal</w:t>
            </w:r>
          </w:p>
        </w:tc>
        <w:tc>
          <w:tcPr>
            <w:tcW w:type="dxa" w:w="6160"/>
          </w:tcPr>
          <w:p>
            <w:pPr>
              <w:spacing w:after="0" w:line="259" w:lineRule="auto"/>
              <w:jc w:val="left"/>
            </w:pPr>
            <w:r>
              <w:rPr>
                <w:rFonts w:ascii="Calibri" w:hAnsi="Calibri"/>
                <w:b w:val="0"/>
                <w:color w:val="1F2937"/>
                <w:sz w:val="18"/>
              </w:rPr>
              <w:t>Run the complete loop: 60-minute design, 60-minute coding, 15-minute break, 30-minute behavioral. Repair only the weakest two areas. Pack laptop/charger and test CoderPad/browser/network.</w:t>
            </w:r>
          </w:p>
        </w:tc>
      </w:tr>
      <w:tr>
        <w:trPr>
          <w:cantSplit w:val="true"/>
        </w:trPr>
        <w:tc>
          <w:tcPr>
            <w:tcW w:type="dxa" w:w="1500"/>
          </w:tcPr>
          <w:p>
            <w:pPr>
              <w:spacing w:after="0" w:line="259" w:lineRule="auto"/>
              <w:jc w:val="left"/>
            </w:pPr>
            <w:r>
              <w:rPr>
                <w:rFonts w:ascii="Calibri" w:hAnsi="Calibri"/>
                <w:b/>
                <w:color w:val="1F2937"/>
                <w:sz w:val="18"/>
              </w:rPr>
              <w:t>Thu, Jul 23</w:t>
              <w:br/>
              <w:t>60-75 minutes</w:t>
            </w:r>
          </w:p>
        </w:tc>
        <w:tc>
          <w:tcPr>
            <w:tcW w:type="dxa" w:w="1700"/>
          </w:tcPr>
          <w:p>
            <w:pPr>
              <w:spacing w:after="0" w:line="259" w:lineRule="auto"/>
              <w:jc w:val="left"/>
            </w:pPr>
            <w:r>
              <w:rPr>
                <w:rFonts w:ascii="Calibri" w:hAnsi="Calibri"/>
                <w:b w:val="0"/>
                <w:color w:val="1F2937"/>
                <w:sz w:val="18"/>
              </w:rPr>
              <w:t>Light activation</w:t>
            </w:r>
          </w:p>
        </w:tc>
        <w:tc>
          <w:tcPr>
            <w:tcW w:type="dxa" w:w="6160"/>
          </w:tcPr>
          <w:p>
            <w:pPr>
              <w:spacing w:after="0" w:line="259" w:lineRule="auto"/>
              <w:jc w:val="left"/>
            </w:pPr>
            <w:r>
              <w:rPr>
                <w:rFonts w:ascii="Calibri" w:hAnsi="Calibri"/>
                <w:b w:val="0"/>
                <w:color w:val="1F2937"/>
                <w:sz w:val="18"/>
              </w:rPr>
              <w:t>One easy warm-up, the design memory hook, story headlines, and company facts. Stop studying 60 minutes before departure. Arrive 15-20 minutes early.</w:t>
            </w:r>
          </w:p>
        </w:tc>
      </w:tr>
    </w:tbl>
    <w:p>
      <w:pPr>
        <w:spacing w:before="0" w:after="40"/>
      </w:pPr>
    </w:p>
    <w:p>
      <w:pPr>
        <w:pStyle w:val="Heading2"/>
      </w:pPr>
      <w:r>
        <w:t>If you only have four focused hours</w:t>
      </w:r>
    </w:p>
    <w:p>
      <w:pPr>
        <w:numPr>
          <w:ilvl w:val="0"/>
          <w:numId w:val="10"/>
        </w:numPr>
        <w:spacing w:after="80" w:line="300" w:lineRule="auto"/>
      </w:pPr>
      <w:r>
        <w:rPr>
          <w:rFonts w:ascii="Calibri" w:hAnsi="Calibri"/>
          <w:b/>
          <w:color w:val="1F2937"/>
          <w:sz w:val="21"/>
        </w:rPr>
        <w:t xml:space="preserve">80 min - </w:t>
      </w:r>
      <w:r>
        <w:rPr>
          <w:rFonts w:ascii="Calibri" w:hAnsi="Calibri"/>
          <w:color w:val="1F2937"/>
          <w:sz w:val="21"/>
        </w:rPr>
        <w:t>Identity &amp; Trust system-design mock plus self-review.</w:t>
      </w:r>
    </w:p>
    <w:p>
      <w:pPr>
        <w:numPr>
          <w:ilvl w:val="0"/>
          <w:numId w:val="10"/>
        </w:numPr>
        <w:spacing w:after="80" w:line="300" w:lineRule="auto"/>
      </w:pPr>
      <w:r>
        <w:rPr>
          <w:rFonts w:ascii="Calibri" w:hAnsi="Calibri"/>
          <w:b/>
          <w:color w:val="1F2937"/>
          <w:sz w:val="21"/>
        </w:rPr>
        <w:t xml:space="preserve">80 min - </w:t>
      </w:r>
      <w:r>
        <w:rPr>
          <w:rFonts w:ascii="Calibri" w:hAnsi="Calibri"/>
          <w:color w:val="1F2937"/>
          <w:sz w:val="21"/>
        </w:rPr>
        <w:t>One end-to-end coding mock in CoderPad with runnable tests.</w:t>
      </w:r>
    </w:p>
    <w:p>
      <w:pPr>
        <w:numPr>
          <w:ilvl w:val="0"/>
          <w:numId w:val="10"/>
        </w:numPr>
        <w:spacing w:after="80" w:line="300" w:lineRule="auto"/>
      </w:pPr>
      <w:r>
        <w:rPr>
          <w:rFonts w:ascii="Calibri" w:hAnsi="Calibri"/>
          <w:b/>
          <w:color w:val="1F2937"/>
          <w:sz w:val="21"/>
        </w:rPr>
        <w:t xml:space="preserve">60 min - </w:t>
      </w:r>
      <w:r>
        <w:rPr>
          <w:rFonts w:ascii="Calibri" w:hAnsi="Calibri"/>
          <w:color w:val="1F2937"/>
          <w:sz w:val="21"/>
        </w:rPr>
        <w:t>Six story headlines: conflict, ambiguity, ownership, failure, bold decision, prioritization.</w:t>
      </w:r>
    </w:p>
    <w:p>
      <w:pPr>
        <w:numPr>
          <w:ilvl w:val="0"/>
          <w:numId w:val="10"/>
        </w:numPr>
        <w:spacing w:after="80" w:line="300" w:lineRule="auto"/>
      </w:pPr>
      <w:r>
        <w:rPr>
          <w:rFonts w:ascii="Calibri" w:hAnsi="Calibri"/>
          <w:b/>
          <w:color w:val="1F2937"/>
          <w:sz w:val="21"/>
        </w:rPr>
        <w:t xml:space="preserve">30 min - </w:t>
      </w:r>
      <w:r>
        <w:rPr>
          <w:rFonts w:ascii="Calibri" w:hAnsi="Calibri"/>
          <w:color w:val="1F2937"/>
          <w:sz w:val="21"/>
        </w:rPr>
        <w:t>Why Ripple, product map, Ripple/XRP/XRPL/RLUSD distinctions, and reverse questions.</w:t>
      </w:r>
    </w:p>
    <w:p>
      <w:pPr>
        <w:numPr>
          <w:ilvl w:val="0"/>
          <w:numId w:val="10"/>
        </w:numPr>
        <w:spacing w:after="80" w:line="300" w:lineRule="auto"/>
      </w:pPr>
      <w:r>
        <w:rPr>
          <w:rFonts w:ascii="Calibri" w:hAnsi="Calibri"/>
          <w:b/>
          <w:color w:val="1F2937"/>
          <w:sz w:val="21"/>
        </w:rPr>
        <w:t xml:space="preserve">10 min - </w:t>
      </w:r>
      <w:r>
        <w:rPr>
          <w:rFonts w:ascii="Calibri" w:hAnsi="Calibri"/>
          <w:color w:val="1F2937"/>
          <w:sz w:val="21"/>
        </w:rPr>
        <w:t>Laptop, charger, NDA, Pacific-time calendar, route, and arrival plan.</w:t>
      </w:r>
    </w:p>
    <w:p>
      <w:pPr>
        <w:pStyle w:val="Heading2"/>
      </w:pPr>
      <w:r>
        <w:t>Mock conditions</w:t>
      </w:r>
    </w:p>
    <w:p>
      <w:pPr>
        <w:numPr>
          <w:ilvl w:val="0"/>
          <w:numId w:val="10"/>
        </w:numPr>
        <w:spacing w:after="80" w:line="300" w:lineRule="auto"/>
      </w:pPr>
      <w:r>
        <w:rPr>
          <w:rFonts w:ascii="Calibri" w:hAnsi="Calibri"/>
          <w:color w:val="1F2937"/>
          <w:sz w:val="21"/>
        </w:rPr>
        <w:t>Use a visible timer. No notes after minute five except the diagram/code you create.</w:t>
      </w:r>
    </w:p>
    <w:p>
      <w:pPr>
        <w:numPr>
          <w:ilvl w:val="0"/>
          <w:numId w:val="10"/>
        </w:numPr>
        <w:spacing w:after="80" w:line="300" w:lineRule="auto"/>
      </w:pPr>
      <w:r>
        <w:rPr>
          <w:rFonts w:ascii="Calibri" w:hAnsi="Calibri"/>
          <w:color w:val="1F2937"/>
          <w:sz w:val="21"/>
        </w:rPr>
        <w:t>Narrate decisions, not keystrokes. Pause briefly before important choices.</w:t>
      </w:r>
    </w:p>
    <w:p>
      <w:pPr>
        <w:numPr>
          <w:ilvl w:val="0"/>
          <w:numId w:val="10"/>
        </w:numPr>
        <w:spacing w:after="80" w:line="300" w:lineRule="auto"/>
      </w:pPr>
      <w:r>
        <w:rPr>
          <w:rFonts w:ascii="Calibri" w:hAnsi="Calibri"/>
          <w:color w:val="1F2937"/>
          <w:sz w:val="21"/>
        </w:rPr>
        <w:t>Record audio if practical. On review, count unproven claims, unexplained tradeoffs, and stretches of silence over 20 seconds.</w:t>
      </w:r>
    </w:p>
    <w:p>
      <w:pPr>
        <w:numPr>
          <w:ilvl w:val="0"/>
          <w:numId w:val="10"/>
        </w:numPr>
        <w:spacing w:after="80" w:line="300" w:lineRule="auto"/>
      </w:pPr>
      <w:r>
        <w:rPr>
          <w:rFonts w:ascii="Calibri" w:hAnsi="Calibri"/>
          <w:color w:val="1F2937"/>
          <w:sz w:val="21"/>
        </w:rPr>
        <w:t>Score the mock using the final-page rubrics; choose only two repair targets for the next session.</w:t>
      </w:r>
    </w:p>
    <w:p>
      <w:pPr>
        <w:pStyle w:val="Heading1"/>
      </w:pPr>
      <w:r>
        <w:t>4. System design and architecture</w:t>
      </w:r>
    </w:p>
    <w:p>
      <w:pPr>
        <w:spacing w:before="100" w:after="160" w:line="283" w:lineRule="auto"/>
        <w:ind w:left="173" w:right="115"/>
        <w:shd w:fill="F4F6F9" w:val="clear"/>
        <w:pBdr>
          <w:left w:val="single" w:sz="18" w:space="8" w:color="2E74B5"/>
        </w:pBdr>
      </w:pPr>
      <w:r>
        <w:rPr>
          <w:rFonts w:ascii="Calibri" w:hAnsi="Calibri"/>
          <w:b/>
          <w:color w:val="2E74B5"/>
          <w:sz w:val="21"/>
        </w:rPr>
        <w:t xml:space="preserve">OFFICIAL rubric  </w:t>
      </w:r>
      <w:r>
        <w:rPr>
          <w:rFonts w:ascii="Calibri" w:hAnsi="Calibri"/>
          <w:color w:val="1F2937"/>
          <w:sz w:val="21"/>
        </w:rPr>
        <w:t>Requirements and boundaries; stable API contracts with evolvability and safe retries; reliability/scalability/resiliency; data modeling/extensibility; operational readiness; migration/coexistence; and explicit tradeoffs.</w:t>
      </w:r>
    </w:p>
    <w:p>
      <w:pPr>
        <w:pStyle w:val="Heading2"/>
      </w:pPr>
      <w:r>
        <w:t>The 60-minute operating system</w:t>
      </w:r>
    </w:p>
    <w:p>
      <w:pPr>
        <w:numPr>
          <w:ilvl w:val="0"/>
          <w:numId w:val="10"/>
        </w:numPr>
        <w:spacing w:after="80" w:line="300" w:lineRule="auto"/>
      </w:pPr>
      <w:r>
        <w:rPr>
          <w:rFonts w:ascii="Calibri" w:hAnsi="Calibri"/>
          <w:b/>
          <w:color w:val="1F2937"/>
          <w:sz w:val="21"/>
        </w:rPr>
        <w:t xml:space="preserve">0-5 min - </w:t>
      </w:r>
      <w:r>
        <w:rPr>
          <w:rFonts w:ascii="Calibri" w:hAnsi="Calibri"/>
          <w:color w:val="1F2937"/>
          <w:sz w:val="21"/>
        </w:rPr>
        <w:t>Restate the goal, define overloaded nouns, identify actors, and set scope.</w:t>
      </w:r>
    </w:p>
    <w:p>
      <w:pPr>
        <w:numPr>
          <w:ilvl w:val="0"/>
          <w:numId w:val="10"/>
        </w:numPr>
        <w:spacing w:after="80" w:line="300" w:lineRule="auto"/>
      </w:pPr>
      <w:r>
        <w:rPr>
          <w:rFonts w:ascii="Calibri" w:hAnsi="Calibri"/>
          <w:b/>
          <w:color w:val="1F2937"/>
          <w:sz w:val="21"/>
        </w:rPr>
        <w:t xml:space="preserve">5-10 min - </w:t>
      </w:r>
      <w:r>
        <w:rPr>
          <w:rFonts w:ascii="Calibri" w:hAnsi="Calibri"/>
          <w:color w:val="1F2937"/>
          <w:sz w:val="21"/>
        </w:rPr>
        <w:t>Ask the highest-risk requirements. Write assumptions, scale, SLOs, and revocation target.</w:t>
      </w:r>
    </w:p>
    <w:p>
      <w:pPr>
        <w:numPr>
          <w:ilvl w:val="0"/>
          <w:numId w:val="10"/>
        </w:numPr>
        <w:spacing w:after="80" w:line="300" w:lineRule="auto"/>
      </w:pPr>
      <w:r>
        <w:rPr>
          <w:rFonts w:ascii="Calibri" w:hAnsi="Calibri"/>
          <w:b/>
          <w:color w:val="1F2937"/>
          <w:sz w:val="21"/>
        </w:rPr>
        <w:t xml:space="preserve">10-16 min - </w:t>
      </w:r>
      <w:r>
        <w:rPr>
          <w:rFonts w:ascii="Calibri" w:hAnsi="Calibri"/>
          <w:color w:val="1F2937"/>
          <w:sz w:val="21"/>
        </w:rPr>
        <w:t>Draw the data model and state the invariants that prevent unsafe access or identity merges.</w:t>
      </w:r>
    </w:p>
    <w:p>
      <w:pPr>
        <w:numPr>
          <w:ilvl w:val="0"/>
          <w:numId w:val="10"/>
        </w:numPr>
        <w:spacing w:after="80" w:line="300" w:lineRule="auto"/>
      </w:pPr>
      <w:r>
        <w:rPr>
          <w:rFonts w:ascii="Calibri" w:hAnsi="Calibri"/>
          <w:b/>
          <w:color w:val="1F2937"/>
          <w:sz w:val="21"/>
        </w:rPr>
        <w:t xml:space="preserve">16-23 min - </w:t>
      </w:r>
      <w:r>
        <w:rPr>
          <w:rFonts w:ascii="Calibri" w:hAnsi="Calibri"/>
          <w:color w:val="1F2937"/>
          <w:sz w:val="21"/>
        </w:rPr>
        <w:t>Define APIs, idempotency/retry behavior, versions, errors, and event envelope.</w:t>
      </w:r>
    </w:p>
    <w:p>
      <w:pPr>
        <w:numPr>
          <w:ilvl w:val="0"/>
          <w:numId w:val="10"/>
        </w:numPr>
        <w:spacing w:after="80" w:line="300" w:lineRule="auto"/>
      </w:pPr>
      <w:r>
        <w:rPr>
          <w:rFonts w:ascii="Calibri" w:hAnsi="Calibri"/>
          <w:b/>
          <w:color w:val="1F2937"/>
          <w:sz w:val="21"/>
        </w:rPr>
        <w:t xml:space="preserve">23-35 min - </w:t>
      </w:r>
      <w:r>
        <w:rPr>
          <w:rFonts w:ascii="Calibri" w:hAnsi="Calibri"/>
          <w:color w:val="1F2937"/>
          <w:sz w:val="21"/>
        </w:rPr>
        <w:t>Draw the architecture and walk three flows: onboarding, authorization, and KYB callback.</w:t>
      </w:r>
    </w:p>
    <w:p>
      <w:pPr>
        <w:numPr>
          <w:ilvl w:val="0"/>
          <w:numId w:val="10"/>
        </w:numPr>
        <w:spacing w:after="80" w:line="300" w:lineRule="auto"/>
      </w:pPr>
      <w:r>
        <w:rPr>
          <w:rFonts w:ascii="Calibri" w:hAnsi="Calibri"/>
          <w:b/>
          <w:color w:val="1F2937"/>
          <w:sz w:val="21"/>
        </w:rPr>
        <w:t xml:space="preserve">35-43 min - </w:t>
      </w:r>
      <w:r>
        <w:rPr>
          <w:rFonts w:ascii="Calibri" w:hAnsi="Calibri"/>
          <w:color w:val="1F2937"/>
          <w:sz w:val="21"/>
        </w:rPr>
        <w:t>Deep-dive consistency, ordering, duplication, cache freshness, and dependency failures.</w:t>
      </w:r>
    </w:p>
    <w:p>
      <w:pPr>
        <w:numPr>
          <w:ilvl w:val="0"/>
          <w:numId w:val="10"/>
        </w:numPr>
        <w:spacing w:after="80" w:line="300" w:lineRule="auto"/>
      </w:pPr>
      <w:r>
        <w:rPr>
          <w:rFonts w:ascii="Calibri" w:hAnsi="Calibri"/>
          <w:b/>
          <w:color w:val="1F2937"/>
          <w:sz w:val="21"/>
        </w:rPr>
        <w:t xml:space="preserve">43-50 min - </w:t>
      </w:r>
      <w:r>
        <w:rPr>
          <w:rFonts w:ascii="Calibri" w:hAnsi="Calibri"/>
          <w:color w:val="1F2937"/>
          <w:sz w:val="21"/>
        </w:rPr>
        <w:t>Explain legacy backfill, shadowing, cutover, reconciliation, rollback, and coexistence.</w:t>
      </w:r>
    </w:p>
    <w:p>
      <w:pPr>
        <w:numPr>
          <w:ilvl w:val="0"/>
          <w:numId w:val="10"/>
        </w:numPr>
        <w:spacing w:after="80" w:line="300" w:lineRule="auto"/>
      </w:pPr>
      <w:r>
        <w:rPr>
          <w:rFonts w:ascii="Calibri" w:hAnsi="Calibri"/>
          <w:b/>
          <w:color w:val="1F2937"/>
          <w:sz w:val="21"/>
        </w:rPr>
        <w:t xml:space="preserve">50-56 min - </w:t>
      </w:r>
      <w:r>
        <w:rPr>
          <w:rFonts w:ascii="Calibri" w:hAnsi="Calibri"/>
          <w:color w:val="1F2937"/>
          <w:sz w:val="21"/>
        </w:rPr>
        <w:t>Cover scaling, security, privacy, observability, DR, and operational ownership.</w:t>
      </w:r>
    </w:p>
    <w:p>
      <w:pPr>
        <w:numPr>
          <w:ilvl w:val="0"/>
          <w:numId w:val="10"/>
        </w:numPr>
        <w:spacing w:after="80" w:line="300" w:lineRule="auto"/>
      </w:pPr>
      <w:r>
        <w:rPr>
          <w:rFonts w:ascii="Calibri" w:hAnsi="Calibri"/>
          <w:b/>
          <w:color w:val="1F2937"/>
          <w:sz w:val="21"/>
        </w:rPr>
        <w:t xml:space="preserve">56-60 min - </w:t>
      </w:r>
      <w:r>
        <w:rPr>
          <w:rFonts w:ascii="Calibri" w:hAnsi="Calibri"/>
          <w:color w:val="1F2937"/>
          <w:sz w:val="21"/>
        </w:rPr>
        <w:t>Summarize choices, name alternatives, state what would change the design, and invite questions.</w:t>
      </w:r>
    </w:p>
    <w:p>
      <w:pPr>
        <w:spacing w:before="100" w:after="160" w:line="283" w:lineRule="auto"/>
        <w:ind w:left="173" w:right="115"/>
        <w:shd w:fill="FFF8E8" w:val="clear"/>
        <w:pBdr>
          <w:left w:val="single" w:sz="18" w:space="8" w:color="7A5A00"/>
        </w:pBdr>
      </w:pPr>
      <w:r>
        <w:rPr>
          <w:rFonts w:ascii="Calibri" w:hAnsi="Calibri"/>
          <w:b/>
          <w:color w:val="7A5A00"/>
          <w:sz w:val="21"/>
        </w:rPr>
        <w:t xml:space="preserve">Memory hook  </w:t>
      </w:r>
      <w:r>
        <w:rPr>
          <w:rFonts w:ascii="Calibri" w:hAnsi="Calibri"/>
          <w:color w:val="1F2937"/>
          <w:sz w:val="21"/>
        </w:rPr>
        <w:t>Boundary -&gt; SLO -&gt; Model -&gt; Contract -&gt; Flows -&gt; Failure -&gt; Migration -&gt; Tradeoff</w:t>
      </w:r>
    </w:p>
    <w:p>
      <w:pPr>
        <w:pStyle w:val="Heading2"/>
      </w:pPr>
      <w:r>
        <w:t>Highest-value practice prompt</w:t>
      </w:r>
    </w:p>
    <w:p>
      <w:pPr>
        <w:spacing w:before="100" w:after="160" w:line="288" w:lineRule="auto"/>
        <w:ind w:left="432" w:right="360"/>
        <w:shd w:fill="F4F6F9" w:val="clear"/>
        <w:pBdr>
          <w:left w:val="single" w:sz="18" w:space="8" w:color="2E74B5"/>
        </w:pBdr>
      </w:pPr>
      <w:r>
        <w:rPr>
          <w:rFonts w:ascii="Calibri" w:hAnsi="Calibri"/>
          <w:b/>
          <w:color w:val="2E74B5"/>
          <w:sz w:val="19"/>
        </w:rPr>
        <w:t>PRACTICE - inferred from the role and rubric; not a reported Ripple question</w:t>
        <w:br/>
      </w:r>
      <w:r>
        <w:rPr>
          <w:rFonts w:ascii="Calibri" w:hAnsi="Calibri"/>
          <w:i/>
          <w:color w:val="0B2545"/>
          <w:sz w:val="21"/>
        </w:rPr>
        <w:t>Design a multi-tenant Identity &amp; Trust Platform that becomes the canonical source for customers, legal entities, users, verification/KYB context, and product entitlements. Existing products have incompatible identity models and cannot migrate simultaneously. Authorization must be highly available, revocations must propagate quickly, and regulated decisions must remain explainable and auditable.</w:t>
      </w:r>
    </w:p>
    <w:p>
      <w:pPr>
        <w:pStyle w:val="Heading2"/>
      </w:pPr>
      <w:r>
        <w:t>Define the nouns before drawing</w:t>
      </w:r>
    </w:p>
    <w:p>
      <w:pPr>
        <w:spacing w:before="100" w:after="160" w:line="288" w:lineRule="auto"/>
        <w:ind w:left="432" w:right="360"/>
        <w:shd w:fill="F4F6F9" w:val="clear"/>
        <w:pBdr>
          <w:left w:val="single" w:sz="18" w:space="8" w:color="2E74B5"/>
        </w:pBdr>
      </w:pPr>
      <w:r>
        <w:rPr>
          <w:rFonts w:ascii="Calibri" w:hAnsi="Calibri"/>
          <w:b/>
          <w:color w:val="2E74B5"/>
          <w:sz w:val="19"/>
        </w:rPr>
        <w:t>Opening script</w:t>
        <w:br/>
      </w:r>
      <w:r>
        <w:rPr>
          <w:rFonts w:ascii="Calibri" w:hAnsi="Calibri"/>
          <w:i/>
          <w:color w:val="0B2545"/>
          <w:sz w:val="21"/>
        </w:rPr>
        <w:t>Identity is overloaded, so I want to define ownership first. A customer is the commercial tenant; a legal entity is the regulated party; a user is a human profile; a principal is an actor that authenticates; and an external identity is an issuer/subject credential linked to a principal. A single system of record does not require one giant database - it requires one authoritative owner for each fact, stable canonical IDs, and explicit contracts.</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4680"/>
        <w:gridCol w:w="4680"/>
      </w:tblGrid>
      <w:tr>
        <w:trPr>
          <w:tblHeader w:val="true"/>
          <w:cantSplit w:val="true"/>
        </w:trPr>
        <w:tc>
          <w:tcPr>
            <w:tcW w:type="dxa" w:w="468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In scope</w:t>
            </w:r>
          </w:p>
        </w:tc>
        <w:tc>
          <w:tcPr>
            <w:tcW w:type="dxa" w:w="468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Out of scope unless requested</w:t>
            </w:r>
          </w:p>
        </w:tc>
      </w:tr>
      <w:tr>
        <w:trPr>
          <w:cantSplit w:val="true"/>
        </w:trPr>
        <w:tc>
          <w:tcPr>
            <w:tcW w:type="dxa" w:w="4680"/>
          </w:tcPr>
          <w:p>
            <w:pPr>
              <w:spacing w:after="0" w:line="259" w:lineRule="auto"/>
              <w:jc w:val="left"/>
            </w:pPr>
            <w:r>
              <w:rPr>
                <w:rFonts w:ascii="Calibri" w:hAnsi="Calibri"/>
                <w:b w:val="0"/>
                <w:color w:val="1F2937"/>
                <w:sz w:val="18"/>
              </w:rPr>
              <w:t>Canonical IDs and lifecycle for customers, entities, users, service principals, memberships, and links.</w:t>
            </w:r>
          </w:p>
        </w:tc>
        <w:tc>
          <w:tcPr>
            <w:tcW w:type="dxa" w:w="4680"/>
          </w:tcPr>
          <w:p>
            <w:pPr>
              <w:spacing w:after="0" w:line="259" w:lineRule="auto"/>
              <w:jc w:val="left"/>
            </w:pPr>
            <w:r>
              <w:rPr>
                <w:rFonts w:ascii="Calibri" w:hAnsi="Calibri"/>
                <w:b w:val="0"/>
                <w:color w:val="1F2937"/>
                <w:sz w:val="18"/>
              </w:rPr>
              <w:t>Building passwords, MFA, SAML, or OIDC protocols; integrate with an identity provider.</w:t>
            </w:r>
          </w:p>
        </w:tc>
      </w:tr>
      <w:tr>
        <w:trPr>
          <w:cantSplit w:val="true"/>
        </w:trPr>
        <w:tc>
          <w:tcPr>
            <w:tcW w:type="dxa" w:w="4680"/>
          </w:tcPr>
          <w:p>
            <w:pPr>
              <w:spacing w:after="0" w:line="259" w:lineRule="auto"/>
              <w:jc w:val="left"/>
            </w:pPr>
            <w:r>
              <w:rPr>
                <w:rFonts w:ascii="Calibri" w:hAnsi="Calibri"/>
                <w:b w:val="0"/>
                <w:color w:val="1F2937"/>
                <w:sz w:val="18"/>
              </w:rPr>
              <w:t>Versioned verification facts, compliance decisions, entitlements, audit, crosswalks, and migration.</w:t>
            </w:r>
          </w:p>
        </w:tc>
        <w:tc>
          <w:tcPr>
            <w:tcW w:type="dxa" w:w="4680"/>
          </w:tcPr>
          <w:p>
            <w:pPr>
              <w:spacing w:after="0" w:line="259" w:lineRule="auto"/>
              <w:jc w:val="left"/>
            </w:pPr>
            <w:r>
              <w:rPr>
                <w:rFonts w:ascii="Calibri" w:hAnsi="Calibri"/>
                <w:b w:val="0"/>
                <w:color w:val="1F2937"/>
                <w:sz w:val="18"/>
              </w:rPr>
              <w:t>Performing KYB itself; vendors and Compliance supply evidence and decisions.</w:t>
            </w:r>
          </w:p>
        </w:tc>
      </w:tr>
      <w:tr>
        <w:trPr>
          <w:cantSplit w:val="true"/>
        </w:trPr>
        <w:tc>
          <w:tcPr>
            <w:tcW w:type="dxa" w:w="4680"/>
          </w:tcPr>
          <w:p>
            <w:pPr>
              <w:spacing w:after="0" w:line="259" w:lineRule="auto"/>
              <w:jc w:val="left"/>
            </w:pPr>
            <w:r>
              <w:rPr>
                <w:rFonts w:ascii="Calibri" w:hAnsi="Calibri"/>
                <w:b w:val="0"/>
                <w:color w:val="1F2937"/>
                <w:sz w:val="18"/>
              </w:rPr>
              <w:t>Product integration contracts and durable domain events.</w:t>
            </w:r>
          </w:p>
        </w:tc>
        <w:tc>
          <w:tcPr>
            <w:tcW w:type="dxa" w:w="4680"/>
          </w:tcPr>
          <w:p>
            <w:pPr>
              <w:spacing w:after="0" w:line="259" w:lineRule="auto"/>
              <w:jc w:val="left"/>
            </w:pPr>
            <w:r>
              <w:rPr>
                <w:rFonts w:ascii="Calibri" w:hAnsi="Calibri"/>
                <w:b w:val="0"/>
                <w:color w:val="1F2937"/>
                <w:sz w:val="18"/>
              </w:rPr>
              <w:t>Executing payments, owning product resources, storing raw evidence in the authorization hot path, or XRPL consensus.</w:t>
            </w:r>
          </w:p>
        </w:tc>
      </w:tr>
    </w:tbl>
    <w:p>
      <w:pPr>
        <w:spacing w:before="0" w:after="40"/>
      </w:pPr>
    </w:p>
    <w:p>
      <w:pPr>
        <w:pStyle w:val="Heading2"/>
      </w:pPr>
      <w:r>
        <w:t>Requirements questions in risk order</w:t>
      </w:r>
    </w:p>
    <w:p>
      <w:pPr>
        <w:numPr>
          <w:ilvl w:val="0"/>
          <w:numId w:val="11"/>
        </w:numPr>
        <w:spacing w:after="80" w:line="300" w:lineRule="auto"/>
      </w:pPr>
      <w:r>
        <w:rPr>
          <w:rFonts w:ascii="Calibri" w:hAnsi="Calibri"/>
          <w:color w:val="1F2937"/>
          <w:sz w:val="21"/>
        </w:rPr>
        <w:t>What are the relationships among customer, legal entity, user, principal, account, and product? Can one user belong to several customers?</w:t>
      </w:r>
    </w:p>
    <w:p>
      <w:pPr>
        <w:numPr>
          <w:ilvl w:val="0"/>
          <w:numId w:val="11"/>
        </w:numPr>
        <w:spacing w:after="80" w:line="300" w:lineRule="auto"/>
      </w:pPr>
      <w:r>
        <w:rPr>
          <w:rFonts w:ascii="Calibri" w:hAnsi="Calibri"/>
          <w:color w:val="1F2937"/>
          <w:sz w:val="21"/>
        </w:rPr>
        <w:t>Are we unifying authentication, authorization, compliance context, or all three? Which systems remain authoritative initially?</w:t>
      </w:r>
    </w:p>
    <w:p>
      <w:pPr>
        <w:numPr>
          <w:ilvl w:val="0"/>
          <w:numId w:val="11"/>
        </w:numPr>
        <w:spacing w:after="80" w:line="300" w:lineRule="auto"/>
      </w:pPr>
      <w:r>
        <w:rPr>
          <w:rFonts w:ascii="Calibri" w:hAnsi="Calibri"/>
          <w:color w:val="1F2937"/>
          <w:sz w:val="21"/>
        </w:rPr>
        <w:t>Which actions require synchronous authorization, and how quickly must suspension or revocation take effect?</w:t>
      </w:r>
    </w:p>
    <w:p>
      <w:pPr>
        <w:numPr>
          <w:ilvl w:val="0"/>
          <w:numId w:val="11"/>
        </w:numPr>
        <w:spacing w:after="80" w:line="300" w:lineRule="auto"/>
      </w:pPr>
      <w:r>
        <w:rPr>
          <w:rFonts w:ascii="Calibri" w:hAnsi="Calibri"/>
          <w:color w:val="1F2937"/>
          <w:sz w:val="21"/>
        </w:rPr>
        <w:t>Is KYB scoped by jurisdiction, product, purpose, risk tier, policy version, and expiration rather than a global boolean?</w:t>
      </w:r>
    </w:p>
    <w:p>
      <w:pPr>
        <w:numPr>
          <w:ilvl w:val="0"/>
          <w:numId w:val="11"/>
        </w:numPr>
        <w:spacing w:after="80" w:line="300" w:lineRule="auto"/>
      </w:pPr>
      <w:r>
        <w:rPr>
          <w:rFonts w:ascii="Calibri" w:hAnsi="Calibri"/>
          <w:color w:val="1F2937"/>
          <w:sz w:val="21"/>
        </w:rPr>
        <w:t>Can identities be merged or split? What evidence allows links across acquired products?</w:t>
      </w:r>
    </w:p>
    <w:p>
      <w:pPr>
        <w:numPr>
          <w:ilvl w:val="0"/>
          <w:numId w:val="11"/>
        </w:numPr>
        <w:spacing w:after="80" w:line="300" w:lineRule="auto"/>
      </w:pPr>
      <w:r>
        <w:rPr>
          <w:rFonts w:ascii="Calibri" w:hAnsi="Calibri"/>
          <w:color w:val="1F2937"/>
          <w:sz w:val="21"/>
        </w:rPr>
        <w:t>Do permissions vary by product and test/UAT/production environment? Are delegated customer administrators supported?</w:t>
      </w:r>
    </w:p>
    <w:p>
      <w:pPr>
        <w:numPr>
          <w:ilvl w:val="0"/>
          <w:numId w:val="11"/>
        </w:numPr>
        <w:spacing w:after="80" w:line="300" w:lineRule="auto"/>
      </w:pPr>
      <w:r>
        <w:rPr>
          <w:rFonts w:ascii="Calibri" w:hAnsi="Calibri"/>
          <w:color w:val="1F2937"/>
          <w:sz w:val="21"/>
        </w:rPr>
        <w:t>What are peak authorization QPS, mutation rate, tenant/user/binding counts, and geographic distribution?</w:t>
      </w:r>
    </w:p>
    <w:p>
      <w:pPr>
        <w:numPr>
          <w:ilvl w:val="0"/>
          <w:numId w:val="11"/>
        </w:numPr>
        <w:spacing w:after="80" w:line="300" w:lineRule="auto"/>
      </w:pPr>
      <w:r>
        <w:rPr>
          <w:rFonts w:ascii="Calibri" w:hAnsi="Calibri"/>
          <w:color w:val="1F2937"/>
          <w:sz w:val="21"/>
        </w:rPr>
        <w:t>Which flows need strong consistency? What are availability, latency, RPO/RTO, retention, residency, and deletion requirements?</w:t>
      </w:r>
    </w:p>
    <w:p>
      <w:pPr>
        <w:numPr>
          <w:ilvl w:val="0"/>
          <w:numId w:val="11"/>
        </w:numPr>
        <w:spacing w:after="80" w:line="300" w:lineRule="auto"/>
      </w:pPr>
      <w:r>
        <w:rPr>
          <w:rFonts w:ascii="Calibri" w:hAnsi="Calibri"/>
          <w:color w:val="1F2937"/>
          <w:sz w:val="21"/>
        </w:rPr>
        <w:t>How should products behave during platform, event bus, identity-provider, or verification-vendor outages?</w:t>
      </w:r>
    </w:p>
    <w:p>
      <w:pPr>
        <w:numPr>
          <w:ilvl w:val="0"/>
          <w:numId w:val="11"/>
        </w:numPr>
        <w:spacing w:after="80" w:line="300" w:lineRule="auto"/>
      </w:pPr>
      <w:r>
        <w:rPr>
          <w:rFonts w:ascii="Calibri" w:hAnsi="Calibri"/>
          <w:color w:val="1F2937"/>
          <w:sz w:val="21"/>
        </w:rPr>
        <w:t>Which system is the writer during each migration phase, what is the rollback window, and what decision explanation must be retrievable later?</w:t>
      </w:r>
    </w:p>
    <w:p>
      <w:pPr>
        <w:spacing w:before="100" w:after="160" w:line="283" w:lineRule="auto"/>
        <w:ind w:left="173" w:right="115"/>
        <w:shd w:fill="FDECEC" w:val="clear"/>
        <w:pBdr>
          <w:left w:val="single" w:sz="18" w:space="8" w:color="9B1C1C"/>
        </w:pBdr>
      </w:pPr>
      <w:r>
        <w:rPr>
          <w:rFonts w:ascii="Calibri" w:hAnsi="Calibri"/>
          <w:b/>
          <w:color w:val="9B1C1C"/>
          <w:sz w:val="21"/>
        </w:rPr>
        <w:t xml:space="preserve">If scale is withheld  </w:t>
      </w:r>
      <w:r>
        <w:rPr>
          <w:rFonts w:ascii="Calibri" w:hAnsi="Calibri"/>
          <w:color w:val="1F2937"/>
          <w:sz w:val="21"/>
        </w:rPr>
        <w:t>Offer clearly labeled assumptions and ask for correction. Never present invented figures as Ripple facts.</w:t>
      </w:r>
    </w:p>
    <w:p>
      <w:pPr>
        <w:pStyle w:val="Heading2"/>
      </w:pPr>
      <w:r>
        <w:t>Reference architecture: what each box owns</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150"/>
        <w:gridCol w:w="7210"/>
      </w:tblGrid>
      <w:tr>
        <w:trPr>
          <w:tblHeader w:val="true"/>
          <w:cantSplit w:val="true"/>
        </w:trPr>
        <w:tc>
          <w:tcPr>
            <w:tcW w:type="dxa" w:w="215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Component</w:t>
            </w:r>
          </w:p>
        </w:tc>
        <w:tc>
          <w:tcPr>
            <w:tcW w:type="dxa" w:w="721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Responsibility and critical choice</w:t>
            </w:r>
          </w:p>
        </w:tc>
      </w:tr>
      <w:tr>
        <w:trPr>
          <w:cantSplit w:val="true"/>
        </w:trPr>
        <w:tc>
          <w:tcPr>
            <w:tcW w:type="dxa" w:w="2150"/>
          </w:tcPr>
          <w:p>
            <w:pPr>
              <w:spacing w:after="0" w:line="259" w:lineRule="auto"/>
              <w:jc w:val="left"/>
            </w:pPr>
            <w:r>
              <w:rPr>
                <w:rFonts w:ascii="Calibri" w:hAnsi="Calibri"/>
                <w:b/>
                <w:color w:val="1F2937"/>
                <w:sz w:val="18"/>
              </w:rPr>
              <w:t>API boundary</w:t>
            </w:r>
          </w:p>
        </w:tc>
        <w:tc>
          <w:tcPr>
            <w:tcW w:type="dxa" w:w="7210"/>
          </w:tcPr>
          <w:p>
            <w:pPr>
              <w:spacing w:after="0" w:line="259" w:lineRule="auto"/>
              <w:jc w:val="left"/>
            </w:pPr>
            <w:r>
              <w:rPr>
                <w:rFonts w:ascii="Calibri" w:hAnsi="Calibri"/>
                <w:b w:val="0"/>
                <w:color w:val="1F2937"/>
                <w:sz w:val="18"/>
              </w:rPr>
              <w:t>Tenant-derived authentication context, validation, rate limits, stable errors, idempotency keys, and request correlation.</w:t>
            </w:r>
          </w:p>
        </w:tc>
      </w:tr>
      <w:tr>
        <w:trPr>
          <w:cantSplit w:val="true"/>
        </w:trPr>
        <w:tc>
          <w:tcPr>
            <w:tcW w:type="dxa" w:w="2150"/>
          </w:tcPr>
          <w:p>
            <w:pPr>
              <w:spacing w:after="0" w:line="259" w:lineRule="auto"/>
              <w:jc w:val="left"/>
            </w:pPr>
            <w:r>
              <w:rPr>
                <w:rFonts w:ascii="Calibri" w:hAnsi="Calibri"/>
                <w:b/>
                <w:color w:val="1F2937"/>
                <w:sz w:val="18"/>
              </w:rPr>
              <w:t>Identity Registry</w:t>
            </w:r>
          </w:p>
        </w:tc>
        <w:tc>
          <w:tcPr>
            <w:tcW w:type="dxa" w:w="7210"/>
          </w:tcPr>
          <w:p>
            <w:pPr>
              <w:spacing w:after="0" w:line="259" w:lineRule="auto"/>
              <w:jc w:val="left"/>
            </w:pPr>
            <w:r>
              <w:rPr>
                <w:rFonts w:ascii="Calibri" w:hAnsi="Calibri"/>
                <w:b w:val="0"/>
                <w:color w:val="1F2937"/>
                <w:sz w:val="18"/>
              </w:rPr>
              <w:t>Canonical customers/entities/users/principals/relationships and immutable IDs. Relational authority for uniqueness and lifecycle invariants.</w:t>
            </w:r>
          </w:p>
        </w:tc>
      </w:tr>
      <w:tr>
        <w:trPr>
          <w:cantSplit w:val="true"/>
        </w:trPr>
        <w:tc>
          <w:tcPr>
            <w:tcW w:type="dxa" w:w="2150"/>
          </w:tcPr>
          <w:p>
            <w:pPr>
              <w:spacing w:after="0" w:line="259" w:lineRule="auto"/>
              <w:jc w:val="left"/>
            </w:pPr>
            <w:r>
              <w:rPr>
                <w:rFonts w:ascii="Calibri" w:hAnsi="Calibri"/>
                <w:b/>
                <w:color w:val="1F2937"/>
                <w:sz w:val="18"/>
              </w:rPr>
              <w:t>Compliance Context</w:t>
            </w:r>
          </w:p>
        </w:tc>
        <w:tc>
          <w:tcPr>
            <w:tcW w:type="dxa" w:w="7210"/>
          </w:tcPr>
          <w:p>
            <w:pPr>
              <w:spacing w:after="0" w:line="259" w:lineRule="auto"/>
              <w:jc w:val="left"/>
            </w:pPr>
            <w:r>
              <w:rPr>
                <w:rFonts w:ascii="Calibri" w:hAnsi="Calibri"/>
                <w:b w:val="0"/>
                <w:color w:val="1F2937"/>
                <w:sz w:val="18"/>
              </w:rPr>
              <w:t>Normalized, append-only verification decisions with evidence references, purpose/jurisdiction/product scope, policy version, and validity.</w:t>
            </w:r>
          </w:p>
        </w:tc>
      </w:tr>
      <w:tr>
        <w:trPr>
          <w:cantSplit w:val="true"/>
        </w:trPr>
        <w:tc>
          <w:tcPr>
            <w:tcW w:type="dxa" w:w="2150"/>
          </w:tcPr>
          <w:p>
            <w:pPr>
              <w:spacing w:after="0" w:line="259" w:lineRule="auto"/>
              <w:jc w:val="left"/>
            </w:pPr>
            <w:r>
              <w:rPr>
                <w:rFonts w:ascii="Calibri" w:hAnsi="Calibri"/>
                <w:b/>
                <w:color w:val="1F2937"/>
                <w:sz w:val="18"/>
              </w:rPr>
              <w:t>Entitlements control plane</w:t>
            </w:r>
          </w:p>
        </w:tc>
        <w:tc>
          <w:tcPr>
            <w:tcW w:type="dxa" w:w="7210"/>
          </w:tcPr>
          <w:p>
            <w:pPr>
              <w:spacing w:after="0" w:line="259" w:lineRule="auto"/>
              <w:jc w:val="left"/>
            </w:pPr>
            <w:r>
              <w:rPr>
                <w:rFonts w:ascii="Calibri" w:hAnsi="Calibri"/>
                <w:b w:val="0"/>
                <w:color w:val="1F2937"/>
                <w:sz w:val="18"/>
              </w:rPr>
              <w:t>Versioned roles, permissions, bindings, and policy. Separate it from the low-latency policy-decision point.</w:t>
            </w:r>
          </w:p>
        </w:tc>
      </w:tr>
      <w:tr>
        <w:trPr>
          <w:cantSplit w:val="true"/>
        </w:trPr>
        <w:tc>
          <w:tcPr>
            <w:tcW w:type="dxa" w:w="2150"/>
          </w:tcPr>
          <w:p>
            <w:pPr>
              <w:spacing w:after="0" w:line="259" w:lineRule="auto"/>
              <w:jc w:val="left"/>
            </w:pPr>
            <w:r>
              <w:rPr>
                <w:rFonts w:ascii="Calibri" w:hAnsi="Calibri"/>
                <w:b/>
                <w:color w:val="1F2937"/>
                <w:sz w:val="18"/>
              </w:rPr>
              <w:t>Authorization PDP</w:t>
            </w:r>
          </w:p>
        </w:tc>
        <w:tc>
          <w:tcPr>
            <w:tcW w:type="dxa" w:w="7210"/>
          </w:tcPr>
          <w:p>
            <w:pPr>
              <w:spacing w:after="0" w:line="259" w:lineRule="auto"/>
              <w:jc w:val="left"/>
            </w:pPr>
            <w:r>
              <w:rPr>
                <w:rFonts w:ascii="Calibri" w:hAnsi="Calibri"/>
                <w:b w:val="0"/>
                <w:color w:val="1F2937"/>
                <w:sz w:val="18"/>
              </w:rPr>
              <w:t>Evaluate deny-first using versioned policy and authoritative fact projections. Return decision, reasons, decision ID, and versions.</w:t>
            </w:r>
          </w:p>
        </w:tc>
      </w:tr>
      <w:tr>
        <w:trPr>
          <w:cantSplit w:val="true"/>
        </w:trPr>
        <w:tc>
          <w:tcPr>
            <w:tcW w:type="dxa" w:w="2150"/>
          </w:tcPr>
          <w:p>
            <w:pPr>
              <w:spacing w:after="0" w:line="259" w:lineRule="auto"/>
              <w:jc w:val="left"/>
            </w:pPr>
            <w:r>
              <w:rPr>
                <w:rFonts w:ascii="Calibri" w:hAnsi="Calibri"/>
                <w:b/>
                <w:color w:val="1F2937"/>
                <w:sz w:val="18"/>
              </w:rPr>
              <w:t>Workflow/orchestration</w:t>
            </w:r>
          </w:p>
        </w:tc>
        <w:tc>
          <w:tcPr>
            <w:tcW w:type="dxa" w:w="7210"/>
          </w:tcPr>
          <w:p>
            <w:pPr>
              <w:spacing w:after="0" w:line="259" w:lineRule="auto"/>
              <w:jc w:val="left"/>
            </w:pPr>
            <w:r>
              <w:rPr>
                <w:rFonts w:ascii="Calibri" w:hAnsi="Calibri"/>
                <w:b w:val="0"/>
                <w:color w:val="1F2937"/>
                <w:sz w:val="18"/>
              </w:rPr>
              <w:t>Drive multi-step onboarding and vendor calls with idempotent, compensatable steps; never infer approval from partial success.</w:t>
            </w:r>
          </w:p>
        </w:tc>
      </w:tr>
      <w:tr>
        <w:trPr>
          <w:cantSplit w:val="true"/>
        </w:trPr>
        <w:tc>
          <w:tcPr>
            <w:tcW w:type="dxa" w:w="2150"/>
          </w:tcPr>
          <w:p>
            <w:pPr>
              <w:spacing w:after="0" w:line="259" w:lineRule="auto"/>
              <w:jc w:val="left"/>
            </w:pPr>
            <w:r>
              <w:rPr>
                <w:rFonts w:ascii="Calibri" w:hAnsi="Calibri"/>
                <w:b/>
                <w:color w:val="1F2937"/>
                <w:sz w:val="18"/>
              </w:rPr>
              <w:t>Outbox + Kafka</w:t>
            </w:r>
          </w:p>
        </w:tc>
        <w:tc>
          <w:tcPr>
            <w:tcW w:type="dxa" w:w="7210"/>
          </w:tcPr>
          <w:p>
            <w:pPr>
              <w:spacing w:after="0" w:line="259" w:lineRule="auto"/>
              <w:jc w:val="left"/>
            </w:pPr>
            <w:r>
              <w:rPr>
                <w:rFonts w:ascii="Calibri" w:hAnsi="Calibri"/>
                <w:b w:val="0"/>
                <w:color w:val="1F2937"/>
                <w:sz w:val="18"/>
              </w:rPr>
              <w:t>Write state, idempotency record, and outbox atomically; publish at least once. Consumers use inbox dedupe for exactly-once business effect.</w:t>
            </w:r>
          </w:p>
        </w:tc>
      </w:tr>
      <w:tr>
        <w:trPr>
          <w:cantSplit w:val="true"/>
        </w:trPr>
        <w:tc>
          <w:tcPr>
            <w:tcW w:type="dxa" w:w="2150"/>
          </w:tcPr>
          <w:p>
            <w:pPr>
              <w:spacing w:after="0" w:line="259" w:lineRule="auto"/>
              <w:jc w:val="left"/>
            </w:pPr>
            <w:r>
              <w:rPr>
                <w:rFonts w:ascii="Calibri" w:hAnsi="Calibri"/>
                <w:b/>
                <w:color w:val="1F2937"/>
                <w:sz w:val="18"/>
              </w:rPr>
              <w:t>Evidence vault + audit</w:t>
            </w:r>
          </w:p>
        </w:tc>
        <w:tc>
          <w:tcPr>
            <w:tcW w:type="dxa" w:w="7210"/>
          </w:tcPr>
          <w:p>
            <w:pPr>
              <w:spacing w:after="0" w:line="259" w:lineRule="auto"/>
              <w:jc w:val="left"/>
            </w:pPr>
            <w:r>
              <w:rPr>
                <w:rFonts w:ascii="Calibri" w:hAnsi="Calibri"/>
                <w:b w:val="0"/>
                <w:color w:val="1F2937"/>
                <w:sz w:val="18"/>
              </w:rPr>
              <w:t>Encrypted regional object store for sensitive evidence; tamper-evident audit history; keep PII and tokens out of events/logs.</w:t>
            </w:r>
          </w:p>
        </w:tc>
      </w:tr>
      <w:tr>
        <w:trPr>
          <w:cantSplit w:val="true"/>
        </w:trPr>
        <w:tc>
          <w:tcPr>
            <w:tcW w:type="dxa" w:w="2150"/>
          </w:tcPr>
          <w:p>
            <w:pPr>
              <w:spacing w:after="0" w:line="259" w:lineRule="auto"/>
              <w:jc w:val="left"/>
            </w:pPr>
            <w:r>
              <w:rPr>
                <w:rFonts w:ascii="Calibri" w:hAnsi="Calibri"/>
                <w:b/>
                <w:color w:val="1F2937"/>
                <w:sz w:val="18"/>
              </w:rPr>
              <w:t>Legacy adapters</w:t>
            </w:r>
          </w:p>
        </w:tc>
        <w:tc>
          <w:tcPr>
            <w:tcW w:type="dxa" w:w="7210"/>
          </w:tcPr>
          <w:p>
            <w:pPr>
              <w:spacing w:after="0" w:line="259" w:lineRule="auto"/>
              <w:jc w:val="left"/>
            </w:pPr>
            <w:r>
              <w:rPr>
                <w:rFonts w:ascii="Calibri" w:hAnsi="Calibri"/>
                <w:b w:val="0"/>
                <w:color w:val="1F2937"/>
                <w:sz w:val="18"/>
              </w:rPr>
              <w:t>Crosswalks, anti-corruption mapping, snapshot/CDC, quarantine, shadow reads, reconciliation, phased cutover, and rollback.</w:t>
            </w:r>
          </w:p>
        </w:tc>
      </w:tr>
    </w:tbl>
    <w:p>
      <w:pPr>
        <w:spacing w:before="0" w:after="40"/>
      </w:pPr>
    </w:p>
    <w:p>
      <w:pPr>
        <w:pStyle w:val="Heading2"/>
      </w:pPr>
      <w:r>
        <w:t>Canonical model and invariants</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460"/>
        <w:gridCol w:w="6900"/>
      </w:tblGrid>
      <w:tr>
        <w:trPr>
          <w:tblHeader w:val="true"/>
          <w:cantSplit w:val="true"/>
        </w:trPr>
        <w:tc>
          <w:tcPr>
            <w:tcW w:type="dxa" w:w="246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Entity</w:t>
            </w:r>
          </w:p>
        </w:tc>
        <w:tc>
          <w:tcPr>
            <w:tcW w:type="dxa" w:w="69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Fields or constraint to volunteer</w:t>
            </w:r>
          </w:p>
        </w:tc>
      </w:tr>
      <w:tr>
        <w:trPr>
          <w:cantSplit w:val="true"/>
        </w:trPr>
        <w:tc>
          <w:tcPr>
            <w:tcW w:type="dxa" w:w="2460"/>
          </w:tcPr>
          <w:p>
            <w:pPr>
              <w:spacing w:after="0" w:line="259" w:lineRule="auto"/>
              <w:jc w:val="left"/>
            </w:pPr>
            <w:r>
              <w:rPr>
                <w:rFonts w:ascii="Calibri" w:hAnsi="Calibri"/>
                <w:b/>
                <w:color w:val="1F2937"/>
                <w:sz w:val="18"/>
              </w:rPr>
              <w:t>Customer / LegalEntity</w:t>
            </w:r>
          </w:p>
        </w:tc>
        <w:tc>
          <w:tcPr>
            <w:tcW w:type="dxa" w:w="6900"/>
          </w:tcPr>
          <w:p>
            <w:pPr>
              <w:spacing w:after="0" w:line="259" w:lineRule="auto"/>
              <w:jc w:val="left"/>
            </w:pPr>
            <w:r>
              <w:rPr>
                <w:rFonts w:ascii="Calibri" w:hAnsi="Calibri"/>
                <w:b w:val="0"/>
                <w:color w:val="1F2937"/>
                <w:sz w:val="18"/>
              </w:rPr>
              <w:t>Separate commercial tenant from regulated party; jurisdiction, lifecycle, home region, version, and temporal relationship.</w:t>
            </w:r>
          </w:p>
        </w:tc>
      </w:tr>
      <w:tr>
        <w:trPr>
          <w:cantSplit w:val="true"/>
        </w:trPr>
        <w:tc>
          <w:tcPr>
            <w:tcW w:type="dxa" w:w="2460"/>
          </w:tcPr>
          <w:p>
            <w:pPr>
              <w:spacing w:after="0" w:line="259" w:lineRule="auto"/>
              <w:jc w:val="left"/>
            </w:pPr>
            <w:r>
              <w:rPr>
                <w:rFonts w:ascii="Calibri" w:hAnsi="Calibri"/>
                <w:b/>
                <w:color w:val="1F2937"/>
                <w:sz w:val="18"/>
              </w:rPr>
              <w:t>User / Principal / ExternalIdentity</w:t>
            </w:r>
          </w:p>
        </w:tc>
        <w:tc>
          <w:tcPr>
            <w:tcW w:type="dxa" w:w="6900"/>
          </w:tcPr>
          <w:p>
            <w:pPr>
              <w:spacing w:after="0" w:line="259" w:lineRule="auto"/>
              <w:jc w:val="left"/>
            </w:pPr>
            <w:r>
              <w:rPr>
                <w:rFonts w:ascii="Calibri" w:hAnsi="Calibri"/>
                <w:b w:val="0"/>
                <w:color w:val="1F2937"/>
                <w:sz w:val="18"/>
              </w:rPr>
              <w:t>Human profile versus authenticating actor; `(issuer, subject)` unique to one active principal; email is an attribute, not identity key.</w:t>
            </w:r>
          </w:p>
        </w:tc>
      </w:tr>
      <w:tr>
        <w:trPr>
          <w:cantSplit w:val="true"/>
        </w:trPr>
        <w:tc>
          <w:tcPr>
            <w:tcW w:type="dxa" w:w="2460"/>
          </w:tcPr>
          <w:p>
            <w:pPr>
              <w:spacing w:after="0" w:line="259" w:lineRule="auto"/>
              <w:jc w:val="left"/>
            </w:pPr>
            <w:r>
              <w:rPr>
                <w:rFonts w:ascii="Calibri" w:hAnsi="Calibri"/>
                <w:b/>
                <w:color w:val="1F2937"/>
                <w:sz w:val="18"/>
              </w:rPr>
              <w:t>Membership / ProductEnrollment</w:t>
            </w:r>
          </w:p>
        </w:tc>
        <w:tc>
          <w:tcPr>
            <w:tcW w:type="dxa" w:w="6900"/>
          </w:tcPr>
          <w:p>
            <w:pPr>
              <w:spacing w:after="0" w:line="259" w:lineRule="auto"/>
              <w:jc w:val="left"/>
            </w:pPr>
            <w:r>
              <w:rPr>
                <w:rFonts w:ascii="Calibri" w:hAnsi="Calibri"/>
                <w:b w:val="0"/>
                <w:color w:val="1F2937"/>
                <w:sz w:val="18"/>
              </w:rPr>
              <w:t>Tenant-scoped status, validity, product and environment. Customer, principal, membership, and enrollment must all be active.</w:t>
            </w:r>
          </w:p>
        </w:tc>
      </w:tr>
      <w:tr>
        <w:trPr>
          <w:cantSplit w:val="true"/>
        </w:trPr>
        <w:tc>
          <w:tcPr>
            <w:tcW w:type="dxa" w:w="2460"/>
          </w:tcPr>
          <w:p>
            <w:pPr>
              <w:spacing w:after="0" w:line="259" w:lineRule="auto"/>
              <w:jc w:val="left"/>
            </w:pPr>
            <w:r>
              <w:rPr>
                <w:rFonts w:ascii="Calibri" w:hAnsi="Calibri"/>
                <w:b/>
                <w:color w:val="1F2937"/>
                <w:sz w:val="18"/>
              </w:rPr>
              <w:t>VerificationDecision</w:t>
            </w:r>
          </w:p>
        </w:tc>
        <w:tc>
          <w:tcPr>
            <w:tcW w:type="dxa" w:w="6900"/>
          </w:tcPr>
          <w:p>
            <w:pPr>
              <w:spacing w:after="0" w:line="259" w:lineRule="auto"/>
              <w:jc w:val="left"/>
            </w:pPr>
            <w:r>
              <w:rPr>
                <w:rFonts w:ascii="Calibri" w:hAnsi="Calibri"/>
                <w:b w:val="0"/>
                <w:color w:val="1F2937"/>
                <w:sz w:val="18"/>
              </w:rPr>
              <w:t>Append-only, purpose/jurisdiction/product scoped, policy version, source, evidence reference, valid time and recorded time.</w:t>
            </w:r>
          </w:p>
        </w:tc>
      </w:tr>
      <w:tr>
        <w:trPr>
          <w:cantSplit w:val="true"/>
        </w:trPr>
        <w:tc>
          <w:tcPr>
            <w:tcW w:type="dxa" w:w="2460"/>
          </w:tcPr>
          <w:p>
            <w:pPr>
              <w:spacing w:after="0" w:line="259" w:lineRule="auto"/>
              <w:jc w:val="left"/>
            </w:pPr>
            <w:r>
              <w:rPr>
                <w:rFonts w:ascii="Calibri" w:hAnsi="Calibri"/>
                <w:b/>
                <w:color w:val="1F2937"/>
                <w:sz w:val="18"/>
              </w:rPr>
              <w:t>Role / Permission / Binding</w:t>
            </w:r>
          </w:p>
        </w:tc>
        <w:tc>
          <w:tcPr>
            <w:tcW w:type="dxa" w:w="6900"/>
          </w:tcPr>
          <w:p>
            <w:pPr>
              <w:spacing w:after="0" w:line="259" w:lineRule="auto"/>
              <w:jc w:val="left"/>
            </w:pPr>
            <w:r>
              <w:rPr>
                <w:rFonts w:ascii="Calibri" w:hAnsi="Calibri"/>
                <w:b w:val="0"/>
                <w:color w:val="1F2937"/>
                <w:sz w:val="18"/>
              </w:rPr>
              <w:t>Namespaced immutable permissions; subject, tenant/resource/product/environment scope, conditions, validity, and explicit deny.</w:t>
            </w:r>
          </w:p>
        </w:tc>
      </w:tr>
      <w:tr>
        <w:trPr>
          <w:cantSplit w:val="true"/>
        </w:trPr>
        <w:tc>
          <w:tcPr>
            <w:tcW w:type="dxa" w:w="2460"/>
          </w:tcPr>
          <w:p>
            <w:pPr>
              <w:spacing w:after="0" w:line="259" w:lineRule="auto"/>
              <w:jc w:val="left"/>
            </w:pPr>
            <w:r>
              <w:rPr>
                <w:rFonts w:ascii="Calibri" w:hAnsi="Calibri"/>
                <w:b/>
                <w:color w:val="1F2937"/>
                <w:sz w:val="18"/>
              </w:rPr>
              <w:t>Audit / Crosswalk / Outbox / Inbox</w:t>
            </w:r>
          </w:p>
        </w:tc>
        <w:tc>
          <w:tcPr>
            <w:tcW w:type="dxa" w:w="6900"/>
          </w:tcPr>
          <w:p>
            <w:pPr>
              <w:spacing w:after="0" w:line="259" w:lineRule="auto"/>
              <w:jc w:val="left"/>
            </w:pPr>
            <w:r>
              <w:rPr>
                <w:rFonts w:ascii="Calibri" w:hAnsi="Calibri"/>
                <w:b w:val="0"/>
                <w:color w:val="1F2937"/>
                <w:sz w:val="18"/>
              </w:rPr>
              <w:t>Actor/request/decision/version lineage; legacy-to-canonical provenance; atomic publication and consumer dedupe.</w:t>
            </w:r>
          </w:p>
        </w:tc>
      </w:tr>
    </w:tbl>
    <w:p>
      <w:pPr>
        <w:spacing w:before="0" w:after="40"/>
      </w:pPr>
    </w:p>
    <w:p>
      <w:pPr>
        <w:numPr>
          <w:ilvl w:val="0"/>
          <w:numId w:val="10"/>
        </w:numPr>
        <w:spacing w:after="80" w:line="300" w:lineRule="auto"/>
      </w:pPr>
      <w:r>
        <w:rPr>
          <w:rFonts w:ascii="Calibri" w:hAnsi="Calibri"/>
          <w:color w:val="1F2937"/>
          <w:sz w:val="21"/>
        </w:rPr>
        <w:t>Every query and binding is tenant-scoped from authenticated context; never trust caller-supplied tenant or KYB facts.</w:t>
      </w:r>
    </w:p>
    <w:p>
      <w:pPr>
        <w:numPr>
          <w:ilvl w:val="0"/>
          <w:numId w:val="10"/>
        </w:numPr>
        <w:spacing w:after="80" w:line="300" w:lineRule="auto"/>
      </w:pPr>
      <w:r>
        <w:rPr>
          <w:rFonts w:ascii="Calibri" w:hAnsi="Calibri"/>
          <w:color w:val="1F2937"/>
          <w:sz w:val="21"/>
        </w:rPr>
        <w:t>Deny, suspension, revocation, and missing/stale mandatory facts override grants. High-risk actions recheck at execution.</w:t>
      </w:r>
    </w:p>
    <w:p>
      <w:pPr>
        <w:numPr>
          <w:ilvl w:val="0"/>
          <w:numId w:val="10"/>
        </w:numPr>
        <w:spacing w:after="80" w:line="300" w:lineRule="auto"/>
      </w:pPr>
      <w:r>
        <w:rPr>
          <w:rFonts w:ascii="Calibri" w:hAnsi="Calibri"/>
          <w:color w:val="1F2937"/>
          <w:sz w:val="21"/>
        </w:rPr>
        <w:t>Fuzzy similarity never silently merges identities. Ambiguity goes to quarantine/manual review; merge and split preserve provenance and audit.</w:t>
      </w:r>
    </w:p>
    <w:p>
      <w:pPr>
        <w:numPr>
          <w:ilvl w:val="0"/>
          <w:numId w:val="10"/>
        </w:numPr>
        <w:spacing w:after="80" w:line="300" w:lineRule="auto"/>
      </w:pPr>
      <w:r>
        <w:rPr>
          <w:rFonts w:ascii="Calibri" w:hAnsi="Calibri"/>
          <w:color w:val="1F2937"/>
          <w:sz w:val="21"/>
        </w:rPr>
        <w:t>Older vendor revisions cannot overwrite newer state; invalid transitions are rejected and recorded.</w:t>
      </w:r>
    </w:p>
    <w:p>
      <w:pPr>
        <w:numPr>
          <w:ilvl w:val="0"/>
          <w:numId w:val="10"/>
        </w:numPr>
        <w:spacing w:after="80" w:line="300" w:lineRule="auto"/>
      </w:pPr>
      <w:r>
        <w:rPr>
          <w:rFonts w:ascii="Calibri" w:hAnsi="Calibri"/>
          <w:color w:val="1F2937"/>
          <w:sz w:val="21"/>
        </w:rPr>
        <w:t>Delivery can be at least once, but business effects become exactly once through database constraints, idempotency, and inbox records.</w:t>
      </w:r>
    </w:p>
    <w:p>
      <w:pPr>
        <w:numPr>
          <w:ilvl w:val="0"/>
          <w:numId w:val="10"/>
        </w:numPr>
        <w:spacing w:after="80" w:line="300" w:lineRule="auto"/>
      </w:pPr>
      <w:r>
        <w:rPr>
          <w:rFonts w:ascii="Calibri" w:hAnsi="Calibri"/>
          <w:color w:val="1F2937"/>
          <w:sz w:val="21"/>
        </w:rPr>
        <w:t>A regulated decision must be reproducible from actor, request, policy version, fact versions, evidence reference, reason, and time.</w:t>
      </w:r>
    </w:p>
    <w:p>
      <w:pPr>
        <w:pStyle w:val="Heading2"/>
      </w:pPr>
      <w:r>
        <w:t>Contracts, idempotency, and events</w:t>
      </w:r>
    </w:p>
    <w:p>
      <w:pPr>
        <w:numPr>
          <w:ilvl w:val="0"/>
          <w:numId w:val="10"/>
        </w:numPr>
        <w:spacing w:after="80" w:line="300" w:lineRule="auto"/>
      </w:pPr>
      <w:r>
        <w:rPr>
          <w:rFonts w:ascii="Calibri" w:hAnsi="Calibri"/>
          <w:b/>
          <w:color w:val="1F2937"/>
          <w:sz w:val="21"/>
        </w:rPr>
        <w:t xml:space="preserve">Mutation APIs. </w:t>
      </w:r>
      <w:r>
        <w:rPr>
          <w:rFonts w:ascii="Calibri" w:hAnsi="Calibri"/>
          <w:color w:val="1F2937"/>
          <w:sz w:val="21"/>
        </w:rPr>
        <w:t>Persist `(tenant, operation, idempotency key)`, the request hash, status, and original response. Same key/same payload returns the result; same key/different payload returns conflict. Commit record, state, and outbox together.</w:t>
      </w:r>
    </w:p>
    <w:p>
      <w:pPr>
        <w:numPr>
          <w:ilvl w:val="0"/>
          <w:numId w:val="10"/>
        </w:numPr>
        <w:spacing w:after="80" w:line="300" w:lineRule="auto"/>
      </w:pPr>
      <w:r>
        <w:rPr>
          <w:rFonts w:ascii="Calibri" w:hAnsi="Calibri"/>
          <w:b/>
          <w:color w:val="1F2937"/>
          <w:sz w:val="21"/>
        </w:rPr>
        <w:t xml:space="preserve">Concurrency. </w:t>
      </w:r>
      <w:r>
        <w:rPr>
          <w:rFonts w:ascii="Calibri" w:hAnsi="Calibri"/>
          <w:color w:val="1F2937"/>
          <w:sz w:val="21"/>
        </w:rPr>
        <w:t>Use business-key uniqueness and optimistic version/ETag. Return a conflict instead of silent last-write-wins.</w:t>
      </w:r>
    </w:p>
    <w:p>
      <w:pPr>
        <w:numPr>
          <w:ilvl w:val="0"/>
          <w:numId w:val="10"/>
        </w:numPr>
        <w:spacing w:after="80" w:line="300" w:lineRule="auto"/>
      </w:pPr>
      <w:r>
        <w:rPr>
          <w:rFonts w:ascii="Calibri" w:hAnsi="Calibri"/>
          <w:b/>
          <w:color w:val="1F2937"/>
          <w:sz w:val="21"/>
        </w:rPr>
        <w:t xml:space="preserve">Events. </w:t>
      </w:r>
      <w:r>
        <w:rPr>
          <w:rFonts w:ascii="Calibri" w:hAnsi="Calibri"/>
          <w:color w:val="1F2937"/>
          <w:sz w:val="21"/>
        </w:rPr>
        <w:t>Include event ID, type/version, tenant, aggregate ID/version, occurrence time, trace ID, and minimal payload. Partition by aggregate; promise per-aggregate order, not global order.</w:t>
      </w:r>
    </w:p>
    <w:p>
      <w:pPr>
        <w:numPr>
          <w:ilvl w:val="0"/>
          <w:numId w:val="10"/>
        </w:numPr>
        <w:spacing w:after="80" w:line="300" w:lineRule="auto"/>
      </w:pPr>
      <w:r>
        <w:rPr>
          <w:rFonts w:ascii="Calibri" w:hAnsi="Calibri"/>
          <w:b/>
          <w:color w:val="1F2937"/>
          <w:sz w:val="21"/>
        </w:rPr>
        <w:t xml:space="preserve">Consumers. </w:t>
      </w:r>
      <w:r>
        <w:rPr>
          <w:rFonts w:ascii="Calibri" w:hAnsi="Calibri"/>
          <w:color w:val="1F2937"/>
          <w:sz w:val="21"/>
        </w:rPr>
        <w:t>Store `(consumer, event ID)` with the effect. Ignore duplicates and stale versions; park gaps, reconcile missing state, and support replay.</w:t>
      </w:r>
    </w:p>
    <w:p>
      <w:pPr>
        <w:numPr>
          <w:ilvl w:val="0"/>
          <w:numId w:val="10"/>
        </w:numPr>
        <w:spacing w:after="80" w:line="300" w:lineRule="auto"/>
      </w:pPr>
      <w:r>
        <w:rPr>
          <w:rFonts w:ascii="Calibri" w:hAnsi="Calibri"/>
          <w:b/>
          <w:color w:val="1F2937"/>
          <w:sz w:val="21"/>
        </w:rPr>
        <w:t xml:space="preserve">Webhooks. </w:t>
      </w:r>
      <w:r>
        <w:rPr>
          <w:rFonts w:ascii="Calibri" w:hAnsi="Calibri"/>
          <w:color w:val="1F2937"/>
          <w:sz w:val="21"/>
        </w:rPr>
        <w:t>Verify signature, nonce/timestamp window, and provider event ID. Handle duplicates, out-of-order revisions, retries, and permanent failures.</w:t>
      </w:r>
    </w:p>
    <w:p>
      <w:pPr>
        <w:numPr>
          <w:ilvl w:val="0"/>
          <w:numId w:val="10"/>
        </w:numPr>
        <w:spacing w:after="80" w:line="300" w:lineRule="auto"/>
      </w:pPr>
      <w:r>
        <w:rPr>
          <w:rFonts w:ascii="Calibri" w:hAnsi="Calibri"/>
          <w:b/>
          <w:color w:val="1F2937"/>
          <w:sz w:val="21"/>
        </w:rPr>
        <w:t xml:space="preserve">Evolution. </w:t>
      </w:r>
      <w:r>
        <w:rPr>
          <w:rFonts w:ascii="Calibri" w:hAnsi="Calibri"/>
          <w:color w:val="1F2937"/>
          <w:sz w:val="21"/>
        </w:rPr>
        <w:t>Favor additive schemas, tolerant readers, versioned enum semantics, consumer contract tests, and explicit deprecation windows.</w:t>
      </w:r>
    </w:p>
    <w:p>
      <w:pPr>
        <w:pStyle w:val="Heading2"/>
      </w:pPr>
      <w:r>
        <w:t>Three flows to walk end-to-end</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900"/>
        <w:gridCol w:w="7460"/>
      </w:tblGrid>
      <w:tr>
        <w:trPr>
          <w:tblHeader w:val="true"/>
          <w:cantSplit w:val="true"/>
        </w:trPr>
        <w:tc>
          <w:tcPr>
            <w:tcW w:type="dxa" w:w="19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Flow</w:t>
            </w:r>
          </w:p>
        </w:tc>
        <w:tc>
          <w:tcPr>
            <w:tcW w:type="dxa" w:w="746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Walkthrough</w:t>
            </w:r>
          </w:p>
        </w:tc>
      </w:tr>
      <w:tr>
        <w:trPr>
          <w:cantSplit w:val="true"/>
        </w:trPr>
        <w:tc>
          <w:tcPr>
            <w:tcW w:type="dxa" w:w="1900"/>
          </w:tcPr>
          <w:p>
            <w:pPr>
              <w:spacing w:after="0" w:line="259" w:lineRule="auto"/>
              <w:jc w:val="left"/>
            </w:pPr>
            <w:r>
              <w:rPr>
                <w:rFonts w:ascii="Calibri" w:hAnsi="Calibri"/>
                <w:b/>
                <w:color w:val="1F2937"/>
                <w:sz w:val="18"/>
              </w:rPr>
              <w:t>Customer onboarding</w:t>
            </w:r>
          </w:p>
        </w:tc>
        <w:tc>
          <w:tcPr>
            <w:tcW w:type="dxa" w:w="7460"/>
          </w:tcPr>
          <w:p>
            <w:pPr>
              <w:spacing w:after="0" w:line="259" w:lineRule="auto"/>
              <w:jc w:val="left"/>
            </w:pPr>
            <w:r>
              <w:rPr>
                <w:rFonts w:ascii="Calibri" w:hAnsi="Calibri"/>
                <w:b w:val="0"/>
                <w:color w:val="1F2937"/>
                <w:sz w:val="18"/>
              </w:rPr>
              <w:t>Create canonical customer/entity -&gt; membership -&gt; initiate verification -&gt; record versioned decision -&gt; emit event -&gt; update entitlement facts -&gt; activate product enrollment only when prerequisites pass.</w:t>
            </w:r>
          </w:p>
        </w:tc>
      </w:tr>
      <w:tr>
        <w:trPr>
          <w:cantSplit w:val="true"/>
        </w:trPr>
        <w:tc>
          <w:tcPr>
            <w:tcW w:type="dxa" w:w="1900"/>
          </w:tcPr>
          <w:p>
            <w:pPr>
              <w:spacing w:after="0" w:line="259" w:lineRule="auto"/>
              <w:jc w:val="left"/>
            </w:pPr>
            <w:r>
              <w:rPr>
                <w:rFonts w:ascii="Calibri" w:hAnsi="Calibri"/>
                <w:b/>
                <w:color w:val="1F2937"/>
                <w:sz w:val="18"/>
              </w:rPr>
              <w:t>Authorization</w:t>
            </w:r>
          </w:p>
        </w:tc>
        <w:tc>
          <w:tcPr>
            <w:tcW w:type="dxa" w:w="7460"/>
          </w:tcPr>
          <w:p>
            <w:pPr>
              <w:spacing w:after="0" w:line="259" w:lineRule="auto"/>
              <w:jc w:val="left"/>
            </w:pPr>
            <w:r>
              <w:rPr>
                <w:rFonts w:ascii="Calibri" w:hAnsi="Calibri"/>
                <w:b w:val="0"/>
                <w:color w:val="1F2937"/>
                <w:sz w:val="18"/>
              </w:rPr>
              <w:t>Validate token -&gt; derive tenant/principal -&gt; load policy and authoritative facts -&gt; check required freshness -&gt; deny-first evaluation -&gt; return decision/reasons/versions -&gt; attach decision ID to business action.</w:t>
            </w:r>
          </w:p>
        </w:tc>
      </w:tr>
      <w:tr>
        <w:trPr>
          <w:cantSplit w:val="true"/>
        </w:trPr>
        <w:tc>
          <w:tcPr>
            <w:tcW w:type="dxa" w:w="1900"/>
          </w:tcPr>
          <w:p>
            <w:pPr>
              <w:spacing w:after="0" w:line="259" w:lineRule="auto"/>
              <w:jc w:val="left"/>
            </w:pPr>
            <w:r>
              <w:rPr>
                <w:rFonts w:ascii="Calibri" w:hAnsi="Calibri"/>
                <w:b/>
                <w:color w:val="1F2937"/>
                <w:sz w:val="18"/>
              </w:rPr>
              <w:t>KYB callback</w:t>
            </w:r>
          </w:p>
        </w:tc>
        <w:tc>
          <w:tcPr>
            <w:tcW w:type="dxa" w:w="7460"/>
          </w:tcPr>
          <w:p>
            <w:pPr>
              <w:spacing w:after="0" w:line="259" w:lineRule="auto"/>
              <w:jc w:val="left"/>
            </w:pPr>
            <w:r>
              <w:rPr>
                <w:rFonts w:ascii="Calibri" w:hAnsi="Calibri"/>
                <w:b w:val="0"/>
                <w:color w:val="1F2937"/>
                <w:sz w:val="18"/>
              </w:rPr>
              <w:t>Authenticate and dedupe webhook -&gt; compare source revision -&gt; enforce transition -&gt; persist decision + outbox -&gt; publish -&gt; update/invalidate authorization facts. Vendor outage leaves status pending.</w:t>
            </w:r>
          </w:p>
        </w:tc>
      </w:tr>
    </w:tbl>
    <w:p>
      <w:pPr>
        <w:spacing w:before="0" w:after="40"/>
      </w:pPr>
    </w:p>
    <w:p>
      <w:pPr>
        <w:pStyle w:val="Heading2"/>
      </w:pPr>
      <w:r>
        <w:t>Migration without dangerous dual writes</w:t>
      </w:r>
    </w:p>
    <w:p>
      <w:pPr>
        <w:numPr>
          <w:ilvl w:val="0"/>
          <w:numId w:val="12"/>
        </w:numPr>
        <w:spacing w:after="80" w:line="300" w:lineRule="auto"/>
      </w:pPr>
      <w:r>
        <w:rPr>
          <w:rFonts w:ascii="Calibri" w:hAnsi="Calibri"/>
          <w:color w:val="1F2937"/>
          <w:sz w:val="21"/>
        </w:rPr>
        <w:t>Inventory semantics, data owners, collisions, consumers, and required contracts; define canonical IDs and provenance-rich crosswalks.</w:t>
      </w:r>
    </w:p>
    <w:p>
      <w:pPr>
        <w:numPr>
          <w:ilvl w:val="0"/>
          <w:numId w:val="12"/>
        </w:numPr>
        <w:spacing w:after="80" w:line="300" w:lineRule="auto"/>
      </w:pPr>
      <w:r>
        <w:rPr>
          <w:rFonts w:ascii="Calibri" w:hAnsi="Calibri"/>
          <w:color w:val="1F2937"/>
          <w:sz w:val="21"/>
        </w:rPr>
        <w:t>Snapshot at a known watermark, backfill idempotently, then apply CDC/outbox changes after that watermark.</w:t>
      </w:r>
    </w:p>
    <w:p>
      <w:pPr>
        <w:numPr>
          <w:ilvl w:val="0"/>
          <w:numId w:val="12"/>
        </w:numPr>
        <w:spacing w:after="80" w:line="300" w:lineRule="auto"/>
      </w:pPr>
      <w:r>
        <w:rPr>
          <w:rFonts w:ascii="Calibri" w:hAnsi="Calibri"/>
          <w:color w:val="1F2937"/>
          <w:sz w:val="21"/>
        </w:rPr>
        <w:t>Quarantine ambiguous matches. A false merge can become a cross-customer access incident.</w:t>
      </w:r>
    </w:p>
    <w:p>
      <w:pPr>
        <w:numPr>
          <w:ilvl w:val="0"/>
          <w:numId w:val="12"/>
        </w:numPr>
        <w:spacing w:after="80" w:line="300" w:lineRule="auto"/>
      </w:pPr>
      <w:r>
        <w:rPr>
          <w:rFonts w:ascii="Calibri" w:hAnsi="Calibri"/>
          <w:color w:val="1F2937"/>
          <w:sz w:val="21"/>
        </w:rPr>
        <w:t>Reconcile counts, checksums, orphan links, duplicate subjects, lifecycle mismatches, and sampled records.</w:t>
      </w:r>
    </w:p>
    <w:p>
      <w:pPr>
        <w:numPr>
          <w:ilvl w:val="0"/>
          <w:numId w:val="12"/>
        </w:numPr>
        <w:spacing w:after="80" w:line="300" w:lineRule="auto"/>
      </w:pPr>
      <w:r>
        <w:rPr>
          <w:rFonts w:ascii="Calibri" w:hAnsi="Calibri"/>
          <w:color w:val="1F2937"/>
          <w:sz w:val="21"/>
        </w:rPr>
        <w:t>Dark launch, shadow reads and authorization decisions, and classify mismatch reasons rather than merely counting them.</w:t>
      </w:r>
    </w:p>
    <w:p>
      <w:pPr>
        <w:numPr>
          <w:ilvl w:val="0"/>
          <w:numId w:val="12"/>
        </w:numPr>
        <w:spacing w:after="80" w:line="300" w:lineRule="auto"/>
      </w:pPr>
      <w:r>
        <w:rPr>
          <w:rFonts w:ascii="Calibri" w:hAnsi="Calibri"/>
          <w:color w:val="1F2937"/>
          <w:sz w:val="21"/>
        </w:rPr>
        <w:t>Cut over one capability, product, tenant cohort, or region at a time behind flags; keep one authoritative writer per capability.</w:t>
      </w:r>
    </w:p>
    <w:p>
      <w:pPr>
        <w:numPr>
          <w:ilvl w:val="0"/>
          <w:numId w:val="12"/>
        </w:numPr>
        <w:spacing w:after="80" w:line="300" w:lineRule="auto"/>
      </w:pPr>
      <w:r>
        <w:rPr>
          <w:rFonts w:ascii="Calibri" w:hAnsi="Calibri"/>
          <w:color w:val="1F2937"/>
          <w:sz w:val="21"/>
        </w:rPr>
        <w:t>Set abort thresholds for decision mismatch, propagation lag, error rate, and invariant violations. Keep tested read-routing rollback.</w:t>
      </w:r>
    </w:p>
    <w:p>
      <w:pPr>
        <w:numPr>
          <w:ilvl w:val="0"/>
          <w:numId w:val="12"/>
        </w:numPr>
        <w:spacing w:after="80" w:line="300" w:lineRule="auto"/>
      </w:pPr>
      <w:r>
        <w:rPr>
          <w:rFonts w:ascii="Calibri" w:hAnsi="Calibri"/>
          <w:color w:val="1F2937"/>
          <w:sz w:val="21"/>
        </w:rPr>
        <w:t>After new-only writes, prefer forward repair while the platform remains authoritative; switching the old writer back on can create divergence.</w:t>
      </w:r>
    </w:p>
    <w:p>
      <w:pPr>
        <w:pStyle w:val="Heading2"/>
      </w:pPr>
      <w:r>
        <w:t>Failure, operations, and security probes</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050"/>
        <w:gridCol w:w="7310"/>
      </w:tblGrid>
      <w:tr>
        <w:trPr>
          <w:tblHeader w:val="true"/>
          <w:cantSplit w:val="true"/>
        </w:trPr>
        <w:tc>
          <w:tcPr>
            <w:tcW w:type="dxa" w:w="205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Probe</w:t>
            </w:r>
          </w:p>
        </w:tc>
        <w:tc>
          <w:tcPr>
            <w:tcW w:type="dxa" w:w="731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Strong answer ingredients</w:t>
            </w:r>
          </w:p>
        </w:tc>
      </w:tr>
      <w:tr>
        <w:trPr>
          <w:cantSplit w:val="true"/>
        </w:trPr>
        <w:tc>
          <w:tcPr>
            <w:tcW w:type="dxa" w:w="2050"/>
          </w:tcPr>
          <w:p>
            <w:pPr>
              <w:spacing w:after="0" w:line="259" w:lineRule="auto"/>
              <w:jc w:val="left"/>
            </w:pPr>
            <w:r>
              <w:rPr>
                <w:rFonts w:ascii="Calibri" w:hAnsi="Calibri"/>
                <w:b/>
                <w:color w:val="1F2937"/>
                <w:sz w:val="18"/>
              </w:rPr>
              <w:t>Kafka unavailable</w:t>
            </w:r>
          </w:p>
        </w:tc>
        <w:tc>
          <w:tcPr>
            <w:tcW w:type="dxa" w:w="7310"/>
          </w:tcPr>
          <w:p>
            <w:pPr>
              <w:spacing w:after="0" w:line="259" w:lineRule="auto"/>
              <w:jc w:val="left"/>
            </w:pPr>
            <w:r>
              <w:rPr>
                <w:rFonts w:ascii="Calibri" w:hAnsi="Calibri"/>
                <w:b w:val="0"/>
                <w:color w:val="1F2937"/>
                <w:sz w:val="18"/>
              </w:rPr>
              <w:t>Authoritative transaction and outbox continue within a bounded backlog; alert, backpressure, throttle, replay, and reconcile.</w:t>
            </w:r>
          </w:p>
        </w:tc>
      </w:tr>
      <w:tr>
        <w:trPr>
          <w:cantSplit w:val="true"/>
        </w:trPr>
        <w:tc>
          <w:tcPr>
            <w:tcW w:type="dxa" w:w="2050"/>
          </w:tcPr>
          <w:p>
            <w:pPr>
              <w:spacing w:after="0" w:line="259" w:lineRule="auto"/>
              <w:jc w:val="left"/>
            </w:pPr>
            <w:r>
              <w:rPr>
                <w:rFonts w:ascii="Calibri" w:hAnsi="Calibri"/>
                <w:b/>
                <w:color w:val="1F2937"/>
                <w:sz w:val="18"/>
              </w:rPr>
              <w:t>Verification vendor down</w:t>
            </w:r>
          </w:p>
        </w:tc>
        <w:tc>
          <w:tcPr>
            <w:tcW w:type="dxa" w:w="7310"/>
          </w:tcPr>
          <w:p>
            <w:pPr>
              <w:spacing w:after="0" w:line="259" w:lineRule="auto"/>
              <w:jc w:val="left"/>
            </w:pPr>
            <w:r>
              <w:rPr>
                <w:rFonts w:ascii="Calibri" w:hAnsi="Calibri"/>
                <w:b w:val="0"/>
                <w:color w:val="1F2937"/>
                <w:sz w:val="18"/>
              </w:rPr>
              <w:t>Keep pending, cap retries with jitter, circuit-break/bulkhead, surface operational state, offer manual route, never infer approval.</w:t>
            </w:r>
          </w:p>
        </w:tc>
      </w:tr>
      <w:tr>
        <w:trPr>
          <w:cantSplit w:val="true"/>
        </w:trPr>
        <w:tc>
          <w:tcPr>
            <w:tcW w:type="dxa" w:w="2050"/>
          </w:tcPr>
          <w:p>
            <w:pPr>
              <w:spacing w:after="0" w:line="259" w:lineRule="auto"/>
              <w:jc w:val="left"/>
            </w:pPr>
            <w:r>
              <w:rPr>
                <w:rFonts w:ascii="Calibri" w:hAnsi="Calibri"/>
                <w:b/>
                <w:color w:val="1F2937"/>
                <w:sz w:val="18"/>
              </w:rPr>
              <w:t>Policy cache stale</w:t>
            </w:r>
          </w:p>
        </w:tc>
        <w:tc>
          <w:tcPr>
            <w:tcW w:type="dxa" w:w="7310"/>
          </w:tcPr>
          <w:p>
            <w:pPr>
              <w:spacing w:after="0" w:line="259" w:lineRule="auto"/>
              <w:jc w:val="left"/>
            </w:pPr>
            <w:r>
              <w:rPr>
                <w:rFonts w:ascii="Calibri" w:hAnsi="Calibri"/>
                <w:b w:val="0"/>
                <w:color w:val="1F2937"/>
                <w:sz w:val="18"/>
              </w:rPr>
              <w:t>Version-aware freshness; synchronous refresh or fail closed for high-risk actions; any last-known-good allow is explicitly scoped to low risk.</w:t>
            </w:r>
          </w:p>
        </w:tc>
      </w:tr>
      <w:tr>
        <w:trPr>
          <w:cantSplit w:val="true"/>
        </w:trPr>
        <w:tc>
          <w:tcPr>
            <w:tcW w:type="dxa" w:w="2050"/>
          </w:tcPr>
          <w:p>
            <w:pPr>
              <w:spacing w:after="0" w:line="259" w:lineRule="auto"/>
              <w:jc w:val="left"/>
            </w:pPr>
            <w:r>
              <w:rPr>
                <w:rFonts w:ascii="Calibri" w:hAnsi="Calibri"/>
                <w:b/>
                <w:color w:val="1F2937"/>
                <w:sz w:val="18"/>
              </w:rPr>
              <w:t>Duplicate/out-of-order callback</w:t>
            </w:r>
          </w:p>
        </w:tc>
        <w:tc>
          <w:tcPr>
            <w:tcW w:type="dxa" w:w="7310"/>
          </w:tcPr>
          <w:p>
            <w:pPr>
              <w:spacing w:after="0" w:line="259" w:lineRule="auto"/>
              <w:jc w:val="left"/>
            </w:pPr>
            <w:r>
              <w:rPr>
                <w:rFonts w:ascii="Calibri" w:hAnsi="Calibri"/>
                <w:b w:val="0"/>
                <w:color w:val="1F2937"/>
                <w:sz w:val="18"/>
              </w:rPr>
              <w:t>Signature + replay protection, provider event ID dedupe, source revision check, state-machine validation, atomic history/current update.</w:t>
            </w:r>
          </w:p>
        </w:tc>
      </w:tr>
      <w:tr>
        <w:trPr>
          <w:cantSplit w:val="true"/>
        </w:trPr>
        <w:tc>
          <w:tcPr>
            <w:tcW w:type="dxa" w:w="2050"/>
          </w:tcPr>
          <w:p>
            <w:pPr>
              <w:spacing w:after="0" w:line="259" w:lineRule="auto"/>
              <w:jc w:val="left"/>
            </w:pPr>
            <w:r>
              <w:rPr>
                <w:rFonts w:ascii="Calibri" w:hAnsi="Calibri"/>
                <w:b/>
                <w:color w:val="1F2937"/>
                <w:sz w:val="18"/>
              </w:rPr>
              <w:t>Region failure</w:t>
            </w:r>
          </w:p>
        </w:tc>
        <w:tc>
          <w:tcPr>
            <w:tcW w:type="dxa" w:w="7310"/>
          </w:tcPr>
          <w:p>
            <w:pPr>
              <w:spacing w:after="0" w:line="259" w:lineRule="auto"/>
              <w:jc w:val="left"/>
            </w:pPr>
            <w:r>
              <w:rPr>
                <w:rFonts w:ascii="Calibri" w:hAnsi="Calibri"/>
                <w:b w:val="0"/>
                <w:color w:val="1F2937"/>
                <w:sz w:val="18"/>
              </w:rPr>
              <w:t>Multi-AZ, tested restore, regional/cell ownership, RPO/RTO, and fencing of the old writer before failover.</w:t>
            </w:r>
          </w:p>
        </w:tc>
      </w:tr>
      <w:tr>
        <w:trPr>
          <w:cantSplit w:val="true"/>
        </w:trPr>
        <w:tc>
          <w:tcPr>
            <w:tcW w:type="dxa" w:w="2050"/>
          </w:tcPr>
          <w:p>
            <w:pPr>
              <w:spacing w:after="0" w:line="259" w:lineRule="auto"/>
              <w:jc w:val="left"/>
            </w:pPr>
            <w:r>
              <w:rPr>
                <w:rFonts w:ascii="Calibri" w:hAnsi="Calibri"/>
                <w:b/>
                <w:color w:val="1F2937"/>
                <w:sz w:val="18"/>
              </w:rPr>
              <w:t>Security review</w:t>
            </w:r>
          </w:p>
        </w:tc>
        <w:tc>
          <w:tcPr>
            <w:tcW w:type="dxa" w:w="7310"/>
          </w:tcPr>
          <w:p>
            <w:pPr>
              <w:spacing w:after="0" w:line="259" w:lineRule="auto"/>
              <w:jc w:val="left"/>
            </w:pPr>
            <w:r>
              <w:rPr>
                <w:rFonts w:ascii="Calibri" w:hAnsi="Calibri"/>
                <w:b w:val="0"/>
                <w:color w:val="1F2937"/>
                <w:sz w:val="18"/>
              </w:rPr>
              <w:t>Threat-model tenant escape, stale grant, callback forgery, privilege escalation, malicious admin, and PII leakage; enforce least privilege, mTLS/workload identity, KMS, audit, and separation of duties.</w:t>
            </w:r>
          </w:p>
        </w:tc>
      </w:tr>
      <w:tr>
        <w:trPr>
          <w:cantSplit w:val="true"/>
        </w:trPr>
        <w:tc>
          <w:tcPr>
            <w:tcW w:type="dxa" w:w="2050"/>
          </w:tcPr>
          <w:p>
            <w:pPr>
              <w:spacing w:after="0" w:line="259" w:lineRule="auto"/>
              <w:jc w:val="left"/>
            </w:pPr>
            <w:r>
              <w:rPr>
                <w:rFonts w:ascii="Calibri" w:hAnsi="Calibri"/>
                <w:b/>
                <w:color w:val="1F2937"/>
                <w:sz w:val="18"/>
              </w:rPr>
              <w:t>Observability</w:t>
            </w:r>
          </w:p>
        </w:tc>
        <w:tc>
          <w:tcPr>
            <w:tcW w:type="dxa" w:w="7310"/>
          </w:tcPr>
          <w:p>
            <w:pPr>
              <w:spacing w:after="0" w:line="259" w:lineRule="auto"/>
              <w:jc w:val="left"/>
            </w:pPr>
            <w:r>
              <w:rPr>
                <w:rFonts w:ascii="Calibri" w:hAnsi="Calibri"/>
                <w:b w:val="0"/>
                <w:color w:val="1F2937"/>
                <w:sz w:val="18"/>
              </w:rPr>
              <w:t>Latency/errors/saturation plus authorization fact age, revocation propagation, outbox age, lag, gaps, DLQ, duplicate subjects, invalid transitions, expiry backlog, and migration shadow mismatch.</w:t>
            </w:r>
          </w:p>
        </w:tc>
      </w:tr>
    </w:tbl>
    <w:p>
      <w:pPr>
        <w:spacing w:before="0" w:after="40"/>
      </w:pPr>
    </w:p>
    <w:p>
      <w:pPr>
        <w:pStyle w:val="Heading2"/>
      </w:pPr>
      <w:r>
        <w:t>Tradeoffs to volunteer</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300"/>
        <w:gridCol w:w="3700"/>
        <w:gridCol w:w="3360"/>
      </w:tblGrid>
      <w:tr>
        <w:trPr>
          <w:tblHeader w:val="true"/>
          <w:cantSplit w:val="true"/>
        </w:trPr>
        <w:tc>
          <w:tcPr>
            <w:tcW w:type="dxa" w:w="23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Choice</w:t>
            </w:r>
          </w:p>
        </w:tc>
        <w:tc>
          <w:tcPr>
            <w:tcW w:type="dxa" w:w="37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Why now</w:t>
            </w:r>
          </w:p>
        </w:tc>
        <w:tc>
          <w:tcPr>
            <w:tcW w:type="dxa" w:w="336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When to revisit</w:t>
            </w:r>
          </w:p>
        </w:tc>
      </w:tr>
      <w:tr>
        <w:trPr>
          <w:cantSplit w:val="true"/>
        </w:trPr>
        <w:tc>
          <w:tcPr>
            <w:tcW w:type="dxa" w:w="2300"/>
          </w:tcPr>
          <w:p>
            <w:pPr>
              <w:spacing w:after="0" w:line="259" w:lineRule="auto"/>
              <w:jc w:val="left"/>
            </w:pPr>
            <w:r>
              <w:rPr>
                <w:rFonts w:ascii="Calibri" w:hAnsi="Calibri"/>
                <w:b w:val="0"/>
                <w:color w:val="1F2937"/>
                <w:sz w:val="17"/>
              </w:rPr>
              <w:t>Relational canonical store</w:t>
            </w:r>
          </w:p>
        </w:tc>
        <w:tc>
          <w:tcPr>
            <w:tcW w:type="dxa" w:w="3700"/>
          </w:tcPr>
          <w:p>
            <w:pPr>
              <w:spacing w:after="0" w:line="259" w:lineRule="auto"/>
              <w:jc w:val="left"/>
            </w:pPr>
            <w:r>
              <w:rPr>
                <w:rFonts w:ascii="Calibri" w:hAnsi="Calibri"/>
                <w:b w:val="0"/>
                <w:color w:val="1F2937"/>
                <w:sz w:val="17"/>
              </w:rPr>
              <w:t>Transactions, temporal relationships, uniqueness, and lifecycle invariants.</w:t>
            </w:r>
          </w:p>
        </w:tc>
        <w:tc>
          <w:tcPr>
            <w:tcW w:type="dxa" w:w="3360"/>
          </w:tcPr>
          <w:p>
            <w:pPr>
              <w:spacing w:after="0" w:line="259" w:lineRule="auto"/>
              <w:jc w:val="left"/>
            </w:pPr>
            <w:r>
              <w:rPr>
                <w:rFonts w:ascii="Calibri" w:hAnsi="Calibri"/>
                <w:b w:val="0"/>
                <w:color w:val="1F2937"/>
                <w:sz w:val="17"/>
              </w:rPr>
              <w:t>If graph traversal dominates, add a projection instead of replacing authority.</w:t>
            </w:r>
          </w:p>
        </w:tc>
      </w:tr>
      <w:tr>
        <w:trPr>
          <w:cantSplit w:val="true"/>
        </w:trPr>
        <w:tc>
          <w:tcPr>
            <w:tcW w:type="dxa" w:w="2300"/>
          </w:tcPr>
          <w:p>
            <w:pPr>
              <w:spacing w:after="0" w:line="259" w:lineRule="auto"/>
              <w:jc w:val="left"/>
            </w:pPr>
            <w:r>
              <w:rPr>
                <w:rFonts w:ascii="Calibri" w:hAnsi="Calibri"/>
                <w:b w:val="0"/>
                <w:color w:val="1F2937"/>
                <w:sz w:val="17"/>
              </w:rPr>
              <w:t>RBAC + typed ABAC</w:t>
            </w:r>
          </w:p>
        </w:tc>
        <w:tc>
          <w:tcPr>
            <w:tcW w:type="dxa" w:w="3700"/>
          </w:tcPr>
          <w:p>
            <w:pPr>
              <w:spacing w:after="0" w:line="259" w:lineRule="auto"/>
              <w:jc w:val="left"/>
            </w:pPr>
            <w:r>
              <w:rPr>
                <w:rFonts w:ascii="Calibri" w:hAnsi="Calibri"/>
                <w:b w:val="0"/>
                <w:color w:val="1F2937"/>
                <w:sz w:val="17"/>
              </w:rPr>
              <w:t>Roles stay explainable; compliance/environment need context.</w:t>
            </w:r>
          </w:p>
        </w:tc>
        <w:tc>
          <w:tcPr>
            <w:tcW w:type="dxa" w:w="3360"/>
          </w:tcPr>
          <w:p>
            <w:pPr>
              <w:spacing w:after="0" w:line="259" w:lineRule="auto"/>
              <w:jc w:val="left"/>
            </w:pPr>
            <w:r>
              <w:rPr>
                <w:rFonts w:ascii="Calibri" w:hAnsi="Calibri"/>
                <w:b w:val="0"/>
                <w:color w:val="1F2937"/>
                <w:sz w:val="17"/>
              </w:rPr>
              <w:t>If policy complexity or evaluation cost becomes unmanageable.</w:t>
            </w:r>
          </w:p>
        </w:tc>
      </w:tr>
      <w:tr>
        <w:trPr>
          <w:cantSplit w:val="true"/>
        </w:trPr>
        <w:tc>
          <w:tcPr>
            <w:tcW w:type="dxa" w:w="2300"/>
          </w:tcPr>
          <w:p>
            <w:pPr>
              <w:spacing w:after="0" w:line="259" w:lineRule="auto"/>
              <w:jc w:val="left"/>
            </w:pPr>
            <w:r>
              <w:rPr>
                <w:rFonts w:ascii="Calibri" w:hAnsi="Calibri"/>
                <w:b w:val="0"/>
                <w:color w:val="1F2937"/>
                <w:sz w:val="17"/>
              </w:rPr>
              <w:t>Online PDP + short-lived token</w:t>
            </w:r>
          </w:p>
        </w:tc>
        <w:tc>
          <w:tcPr>
            <w:tcW w:type="dxa" w:w="3700"/>
          </w:tcPr>
          <w:p>
            <w:pPr>
              <w:spacing w:after="0" w:line="259" w:lineRule="auto"/>
              <w:jc w:val="left"/>
            </w:pPr>
            <w:r>
              <w:rPr>
                <w:rFonts w:ascii="Calibri" w:hAnsi="Calibri"/>
                <w:b w:val="0"/>
                <w:color w:val="1F2937"/>
                <w:sz w:val="17"/>
              </w:rPr>
              <w:t>Avoid stale entitlements in long-lived JWTs.</w:t>
            </w:r>
          </w:p>
        </w:tc>
        <w:tc>
          <w:tcPr>
            <w:tcW w:type="dxa" w:w="3360"/>
          </w:tcPr>
          <w:p>
            <w:pPr>
              <w:spacing w:after="0" w:line="259" w:lineRule="auto"/>
              <w:jc w:val="left"/>
            </w:pPr>
            <w:r>
              <w:rPr>
                <w:rFonts w:ascii="Calibri" w:hAnsi="Calibri"/>
                <w:b w:val="0"/>
                <w:color w:val="1F2937"/>
                <w:sz w:val="17"/>
              </w:rPr>
              <w:t>If offline operation is essential and bounded revocation delay is acceptable.</w:t>
            </w:r>
          </w:p>
        </w:tc>
      </w:tr>
      <w:tr>
        <w:trPr>
          <w:cantSplit w:val="true"/>
        </w:trPr>
        <w:tc>
          <w:tcPr>
            <w:tcW w:type="dxa" w:w="2300"/>
          </w:tcPr>
          <w:p>
            <w:pPr>
              <w:spacing w:after="0" w:line="259" w:lineRule="auto"/>
              <w:jc w:val="left"/>
            </w:pPr>
            <w:r>
              <w:rPr>
                <w:rFonts w:ascii="Calibri" w:hAnsi="Calibri"/>
                <w:b w:val="0"/>
                <w:color w:val="1F2937"/>
                <w:sz w:val="17"/>
              </w:rPr>
              <w:t>Current state + append-only history</w:t>
            </w:r>
          </w:p>
        </w:tc>
        <w:tc>
          <w:tcPr>
            <w:tcW w:type="dxa" w:w="3700"/>
          </w:tcPr>
          <w:p>
            <w:pPr>
              <w:spacing w:after="0" w:line="259" w:lineRule="auto"/>
              <w:jc w:val="left"/>
            </w:pPr>
            <w:r>
              <w:rPr>
                <w:rFonts w:ascii="Calibri" w:hAnsi="Calibri"/>
                <w:b w:val="0"/>
                <w:color w:val="1F2937"/>
                <w:sz w:val="17"/>
              </w:rPr>
              <w:t>Simpler than full event sourcing while retaining audit and replay.</w:t>
            </w:r>
          </w:p>
        </w:tc>
        <w:tc>
          <w:tcPr>
            <w:tcW w:type="dxa" w:w="3360"/>
          </w:tcPr>
          <w:p>
            <w:pPr>
              <w:spacing w:after="0" w:line="259" w:lineRule="auto"/>
              <w:jc w:val="left"/>
            </w:pPr>
            <w:r>
              <w:rPr>
                <w:rFonts w:ascii="Calibri" w:hAnsi="Calibri"/>
                <w:b w:val="0"/>
                <w:color w:val="1F2937"/>
                <w:sz w:val="17"/>
              </w:rPr>
              <w:t>If temporal reconstruction becomes the dominant workload.</w:t>
            </w:r>
          </w:p>
        </w:tc>
      </w:tr>
      <w:tr>
        <w:trPr>
          <w:cantSplit w:val="true"/>
        </w:trPr>
        <w:tc>
          <w:tcPr>
            <w:tcW w:type="dxa" w:w="2300"/>
          </w:tcPr>
          <w:p>
            <w:pPr>
              <w:spacing w:after="0" w:line="259" w:lineRule="auto"/>
              <w:jc w:val="left"/>
            </w:pPr>
            <w:r>
              <w:rPr>
                <w:rFonts w:ascii="Calibri" w:hAnsi="Calibri"/>
                <w:b w:val="0"/>
                <w:color w:val="1F2937"/>
                <w:sz w:val="17"/>
              </w:rPr>
              <w:t>Buy IdP/KYB integration; build trust layer</w:t>
            </w:r>
          </w:p>
        </w:tc>
        <w:tc>
          <w:tcPr>
            <w:tcW w:type="dxa" w:w="3700"/>
          </w:tcPr>
          <w:p>
            <w:pPr>
              <w:spacing w:after="0" w:line="259" w:lineRule="auto"/>
              <w:jc w:val="left"/>
            </w:pPr>
            <w:r>
              <w:rPr>
                <w:rFonts w:ascii="Calibri" w:hAnsi="Calibri"/>
                <w:b w:val="0"/>
                <w:color w:val="1F2937"/>
                <w:sz w:val="17"/>
              </w:rPr>
              <w:t>Protocols/vendor evidence are commodity; cross-product semantics are strategic.</w:t>
            </w:r>
          </w:p>
        </w:tc>
        <w:tc>
          <w:tcPr>
            <w:tcW w:type="dxa" w:w="3360"/>
          </w:tcPr>
          <w:p>
            <w:pPr>
              <w:spacing w:after="0" w:line="259" w:lineRule="auto"/>
              <w:jc w:val="left"/>
            </w:pPr>
            <w:r>
              <w:rPr>
                <w:rFonts w:ascii="Calibri" w:hAnsi="Calibri"/>
                <w:b w:val="0"/>
                <w:color w:val="1F2937"/>
                <w:sz w:val="17"/>
              </w:rPr>
              <w:t>If lock-in or regulatory requirements change.</w:t>
            </w:r>
          </w:p>
        </w:tc>
      </w:tr>
      <w:tr>
        <w:trPr>
          <w:cantSplit w:val="true"/>
        </w:trPr>
        <w:tc>
          <w:tcPr>
            <w:tcW w:type="dxa" w:w="2300"/>
          </w:tcPr>
          <w:p>
            <w:pPr>
              <w:spacing w:after="0" w:line="259" w:lineRule="auto"/>
              <w:jc w:val="left"/>
            </w:pPr>
            <w:r>
              <w:rPr>
                <w:rFonts w:ascii="Calibri" w:hAnsi="Calibri"/>
                <w:b w:val="0"/>
                <w:color w:val="1F2937"/>
                <w:sz w:val="17"/>
              </w:rPr>
              <w:t>Logical services, not entity-per-service</w:t>
            </w:r>
          </w:p>
        </w:tc>
        <w:tc>
          <w:tcPr>
            <w:tcW w:type="dxa" w:w="3700"/>
          </w:tcPr>
          <w:p>
            <w:pPr>
              <w:spacing w:after="0" w:line="259" w:lineRule="auto"/>
              <w:jc w:val="left"/>
            </w:pPr>
            <w:r>
              <w:rPr>
                <w:rFonts w:ascii="Calibri" w:hAnsi="Calibri"/>
                <w:b w:val="0"/>
                <w:color w:val="1F2937"/>
                <w:sz w:val="17"/>
              </w:rPr>
              <w:t>Clear ownership without distributed-transaction sprawl.</w:t>
            </w:r>
          </w:p>
        </w:tc>
        <w:tc>
          <w:tcPr>
            <w:tcW w:type="dxa" w:w="3360"/>
          </w:tcPr>
          <w:p>
            <w:pPr>
              <w:spacing w:after="0" w:line="259" w:lineRule="auto"/>
              <w:jc w:val="left"/>
            </w:pPr>
            <w:r>
              <w:rPr>
                <w:rFonts w:ascii="Calibri" w:hAnsi="Calibri"/>
                <w:b w:val="0"/>
                <w:color w:val="1F2937"/>
                <w:sz w:val="17"/>
              </w:rPr>
              <w:t>When scale, SLO, team, or release independence justifies a split.</w:t>
            </w:r>
          </w:p>
        </w:tc>
      </w:tr>
    </w:tbl>
    <w:p>
      <w:pPr>
        <w:spacing w:before="0" w:after="40"/>
      </w:pPr>
    </w:p>
    <w:p>
      <w:pPr>
        <w:pStyle w:val="Heading2"/>
      </w:pPr>
      <w:r>
        <w:t>Extra practice prompts</w:t>
      </w:r>
    </w:p>
    <w:p>
      <w:pPr>
        <w:numPr>
          <w:ilvl w:val="0"/>
          <w:numId w:val="10"/>
        </w:numPr>
        <w:spacing w:after="80" w:line="300" w:lineRule="auto"/>
      </w:pPr>
      <w:r>
        <w:rPr>
          <w:rFonts w:ascii="Calibri" w:hAnsi="Calibri"/>
          <w:b/>
          <w:color w:val="1F2937"/>
          <w:sz w:val="21"/>
        </w:rPr>
        <w:t xml:space="preserve">PRACTICE - </w:t>
      </w:r>
      <w:r>
        <w:rPr>
          <w:rFonts w:ascii="Calibri" w:hAnsi="Calibri"/>
          <w:color w:val="1F2937"/>
          <w:sz w:val="21"/>
        </w:rPr>
        <w:t>Unified entitlements service with product/environment/resource scopes, contextual KYB, delegated admins, explanations, and fast revocation.</w:t>
      </w:r>
    </w:p>
    <w:p>
      <w:pPr>
        <w:numPr>
          <w:ilvl w:val="0"/>
          <w:numId w:val="10"/>
        </w:numPr>
        <w:spacing w:after="80" w:line="300" w:lineRule="auto"/>
      </w:pPr>
      <w:r>
        <w:rPr>
          <w:rFonts w:ascii="Calibri" w:hAnsi="Calibri"/>
          <w:b/>
          <w:color w:val="1F2937"/>
          <w:sz w:val="21"/>
        </w:rPr>
        <w:t xml:space="preserve">PRACTICE - </w:t>
      </w:r>
      <w:r>
        <w:rPr>
          <w:rFonts w:ascii="Calibri" w:hAnsi="Calibri"/>
          <w:color w:val="1F2937"/>
          <w:sz w:val="21"/>
        </w:rPr>
        <w:t>Shared compliance-context service normalizing multiple vendors with provenance, policy versions, expiration, webhook replay protection, and audit reconstruction.</w:t>
      </w:r>
    </w:p>
    <w:p>
      <w:pPr>
        <w:numPr>
          <w:ilvl w:val="0"/>
          <w:numId w:val="10"/>
        </w:numPr>
        <w:spacing w:after="80" w:line="300" w:lineRule="auto"/>
      </w:pPr>
      <w:r>
        <w:rPr>
          <w:rFonts w:ascii="Calibri" w:hAnsi="Calibri"/>
          <w:b/>
          <w:color w:val="1F2937"/>
          <w:sz w:val="21"/>
        </w:rPr>
        <w:t xml:space="preserve">PRACTICE - </w:t>
      </w:r>
      <w:r>
        <w:rPr>
          <w:rFonts w:ascii="Calibri" w:hAnsi="Calibri"/>
          <w:color w:val="1F2937"/>
          <w:sz w:val="21"/>
        </w:rPr>
        <w:t>Zero-downtime migration from three acquired products with incompatible identifiers and lifecycle semantics.</w:t>
      </w:r>
    </w:p>
    <w:p>
      <w:pPr>
        <w:numPr>
          <w:ilvl w:val="0"/>
          <w:numId w:val="10"/>
        </w:numPr>
        <w:spacing w:after="80" w:line="300" w:lineRule="auto"/>
      </w:pPr>
      <w:r>
        <w:rPr>
          <w:rFonts w:ascii="Calibri" w:hAnsi="Calibri"/>
          <w:b/>
          <w:color w:val="1F2937"/>
          <w:sz w:val="21"/>
        </w:rPr>
        <w:t xml:space="preserve">PRACTICE - </w:t>
      </w:r>
      <w:r>
        <w:rPr>
          <w:rFonts w:ascii="Calibri" w:hAnsi="Calibri"/>
          <w:color w:val="1F2937"/>
          <w:sz w:val="21"/>
        </w:rPr>
        <w:t>Identity linking and recovery supporting several identity providers, email change, merge/split, and cross-tenant safety.</w:t>
      </w:r>
    </w:p>
    <w:p>
      <w:pPr>
        <w:numPr>
          <w:ilvl w:val="0"/>
          <w:numId w:val="10"/>
        </w:numPr>
        <w:spacing w:after="80" w:line="300" w:lineRule="auto"/>
      </w:pPr>
      <w:r>
        <w:rPr>
          <w:rFonts w:ascii="Calibri" w:hAnsi="Calibri"/>
          <w:b/>
          <w:color w:val="1F2937"/>
          <w:sz w:val="21"/>
        </w:rPr>
        <w:t xml:space="preserve">PRACTICE - </w:t>
      </w:r>
      <w:r>
        <w:rPr>
          <w:rFonts w:ascii="Calibri" w:hAnsi="Calibri"/>
          <w:color w:val="1F2937"/>
          <w:sz w:val="21"/>
        </w:rPr>
        <w:t>Customer onboarding saga coordinating entity creation, KYB, product provisioning, and first-admin entitlements under partial failure.</w:t>
      </w:r>
    </w:p>
    <w:p>
      <w:pPr>
        <w:numPr>
          <w:ilvl w:val="0"/>
          <w:numId w:val="10"/>
        </w:numPr>
        <w:spacing w:after="80" w:line="300" w:lineRule="auto"/>
      </w:pPr>
      <w:r>
        <w:rPr>
          <w:rFonts w:ascii="Calibri" w:hAnsi="Calibri"/>
          <w:b/>
          <w:color w:val="1F2937"/>
          <w:sz w:val="21"/>
        </w:rPr>
        <w:t xml:space="preserve">PRACTICE - </w:t>
      </w:r>
      <w:r>
        <w:rPr>
          <w:rFonts w:ascii="Calibri" w:hAnsi="Calibri"/>
          <w:color w:val="1F2937"/>
          <w:sz w:val="21"/>
        </w:rPr>
        <w:t>Auditable payment approval with proposer/approver separation, N-of-M approval, expiring compliance, and reproducible decisions.</w:t>
      </w:r>
    </w:p>
    <w:p>
      <w:pPr>
        <w:pStyle w:val="Heading1"/>
      </w:pPr>
      <w:r>
        <w:t>5. Hands-on coding</w:t>
      </w:r>
    </w:p>
    <w:p>
      <w:pPr>
        <w:spacing w:before="100" w:after="160" w:line="283" w:lineRule="auto"/>
        <w:ind w:left="173" w:right="115"/>
        <w:shd w:fill="F4F6F9" w:val="clear"/>
        <w:pBdr>
          <w:left w:val="single" w:sz="18" w:space="8" w:color="2E74B5"/>
        </w:pBdr>
      </w:pPr>
      <w:r>
        <w:rPr>
          <w:rFonts w:ascii="Calibri" w:hAnsi="Calibri"/>
          <w:b/>
          <w:color w:val="2E74B5"/>
          <w:sz w:val="21"/>
        </w:rPr>
        <w:t xml:space="preserve">OFFICIAL rubric  </w:t>
      </w:r>
      <w:r>
        <w:rPr>
          <w:rFonts w:ascii="Calibri" w:hAnsi="Calibri"/>
          <w:color w:val="1F2937"/>
          <w:sz w:val="21"/>
        </w:rPr>
        <w:t>Language of your choice; not intended to be algorithmically tricky. Evaluators listen for data structures and justified patterns, OOP/clean code, testability, extensibility, functional correctness, thoughtful edge cases, and communication.</w:t>
      </w:r>
    </w:p>
    <w:p>
      <w:pPr>
        <w:pStyle w:val="Heading2"/>
      </w:pPr>
      <w:r>
        <w:t>Language decision</w:t>
      </w:r>
    </w:p>
    <w:p>
      <w:pPr>
        <w:spacing w:after="120" w:line="300" w:lineRule="auto"/>
      </w:pPr>
      <w:r>
        <w:rPr>
          <w:rFonts w:ascii="Calibri" w:hAnsi="Calibri"/>
          <w:i w:val="0"/>
          <w:color w:val="1F2937"/>
          <w:sz w:val="22"/>
        </w:rPr>
        <w:t>Use Java if you can still model, implement, and test fluently under a timer; it matches the team's preferred Java/Spring stack and makes interfaces/value objects explicit. Use Python instead if Java meaningfully increases syntax/debugging risk. Completion, tests, and judgment outweigh stack signaling.</w:t>
      </w:r>
    </w:p>
    <w:p>
      <w:pPr>
        <w:pStyle w:val="Heading2"/>
      </w:pPr>
      <w:r>
        <w:t>60-minute rhythm</w:t>
      </w:r>
    </w:p>
    <w:p>
      <w:pPr>
        <w:numPr>
          <w:ilvl w:val="0"/>
          <w:numId w:val="10"/>
        </w:numPr>
        <w:spacing w:after="80" w:line="300" w:lineRule="auto"/>
      </w:pPr>
      <w:r>
        <w:rPr>
          <w:rFonts w:ascii="Calibri" w:hAnsi="Calibri"/>
          <w:b/>
          <w:color w:val="1F2937"/>
          <w:sz w:val="21"/>
        </w:rPr>
        <w:t xml:space="preserve">0-5 - </w:t>
      </w:r>
      <w:r>
        <w:rPr>
          <w:rFonts w:ascii="Calibri" w:hAnsi="Calibri"/>
          <w:color w:val="1F2937"/>
          <w:sz w:val="21"/>
        </w:rPr>
        <w:t>Restate examples, clarify constraints, name invalid states and extension points.</w:t>
      </w:r>
    </w:p>
    <w:p>
      <w:pPr>
        <w:numPr>
          <w:ilvl w:val="0"/>
          <w:numId w:val="10"/>
        </w:numPr>
        <w:spacing w:after="80" w:line="300" w:lineRule="auto"/>
      </w:pPr>
      <w:r>
        <w:rPr>
          <w:rFonts w:ascii="Calibri" w:hAnsi="Calibri"/>
          <w:b/>
          <w:color w:val="1F2937"/>
          <w:sz w:val="21"/>
        </w:rPr>
        <w:t xml:space="preserve">5-10 - </w:t>
      </w:r>
      <w:r>
        <w:rPr>
          <w:rFonts w:ascii="Calibri" w:hAnsi="Calibri"/>
          <w:color w:val="1F2937"/>
          <w:sz w:val="21"/>
        </w:rPr>
        <w:t>Define the minimal public API, domain types, data structures, and one justified abstraction seam.</w:t>
      </w:r>
    </w:p>
    <w:p>
      <w:pPr>
        <w:numPr>
          <w:ilvl w:val="0"/>
          <w:numId w:val="10"/>
        </w:numPr>
        <w:spacing w:after="80" w:line="300" w:lineRule="auto"/>
      </w:pPr>
      <w:r>
        <w:rPr>
          <w:rFonts w:ascii="Calibri" w:hAnsi="Calibri"/>
          <w:b/>
          <w:color w:val="1F2937"/>
          <w:sz w:val="21"/>
        </w:rPr>
        <w:t xml:space="preserve">10-35 - </w:t>
      </w:r>
      <w:r>
        <w:rPr>
          <w:rFonts w:ascii="Calibri" w:hAnsi="Calibri"/>
          <w:color w:val="1F2937"/>
          <w:sz w:val="21"/>
        </w:rPr>
        <w:t>Implement the simplest correct core. Narrate invariants and complexity; do not gold-plate.</w:t>
      </w:r>
    </w:p>
    <w:p>
      <w:pPr>
        <w:numPr>
          <w:ilvl w:val="0"/>
          <w:numId w:val="10"/>
        </w:numPr>
        <w:spacing w:after="80" w:line="300" w:lineRule="auto"/>
      </w:pPr>
      <w:r>
        <w:rPr>
          <w:rFonts w:ascii="Calibri" w:hAnsi="Calibri"/>
          <w:b/>
          <w:color w:val="1F2937"/>
          <w:sz w:val="21"/>
        </w:rPr>
        <w:t xml:space="preserve">35-50 - </w:t>
      </w:r>
      <w:r>
        <w:rPr>
          <w:rFonts w:ascii="Calibri" w:hAnsi="Calibri"/>
          <w:color w:val="1F2937"/>
          <w:sz w:val="21"/>
        </w:rPr>
        <w:t>Run focused tests: happy path, empty/boundary, duplicate/conflict, invalid input, and failure.</w:t>
      </w:r>
    </w:p>
    <w:p>
      <w:pPr>
        <w:numPr>
          <w:ilvl w:val="0"/>
          <w:numId w:val="10"/>
        </w:numPr>
        <w:spacing w:after="80" w:line="300" w:lineRule="auto"/>
      </w:pPr>
      <w:r>
        <w:rPr>
          <w:rFonts w:ascii="Calibri" w:hAnsi="Calibri"/>
          <w:b/>
          <w:color w:val="1F2937"/>
          <w:sz w:val="21"/>
        </w:rPr>
        <w:t xml:space="preserve">50-56 - </w:t>
      </w:r>
      <w:r>
        <w:rPr>
          <w:rFonts w:ascii="Calibri" w:hAnsi="Calibri"/>
          <w:color w:val="1F2937"/>
          <w:sz w:val="21"/>
        </w:rPr>
        <w:t>Handle a likely extension without rewriting the core; refactor names/duplication only after correctness.</w:t>
      </w:r>
    </w:p>
    <w:p>
      <w:pPr>
        <w:numPr>
          <w:ilvl w:val="0"/>
          <w:numId w:val="10"/>
        </w:numPr>
        <w:spacing w:after="80" w:line="300" w:lineRule="auto"/>
      </w:pPr>
      <w:r>
        <w:rPr>
          <w:rFonts w:ascii="Calibri" w:hAnsi="Calibri"/>
          <w:b/>
          <w:color w:val="1F2937"/>
          <w:sz w:val="21"/>
        </w:rPr>
        <w:t xml:space="preserve">56-60 - </w:t>
      </w:r>
      <w:r>
        <w:rPr>
          <w:rFonts w:ascii="Calibri" w:hAnsi="Calibri"/>
          <w:color w:val="1F2937"/>
          <w:sz w:val="21"/>
        </w:rPr>
        <w:t>Summarize complexity, concurrency assumptions, failure policy, tradeoffs, and production gaps.</w:t>
      </w:r>
    </w:p>
    <w:p>
      <w:pPr>
        <w:spacing w:before="100" w:after="160" w:line="283" w:lineRule="auto"/>
        <w:ind w:left="173" w:right="115"/>
        <w:shd w:fill="FFF8E8" w:val="clear"/>
        <w:pBdr>
          <w:left w:val="single" w:sz="18" w:space="8" w:color="7A5A00"/>
        </w:pBdr>
      </w:pPr>
      <w:r>
        <w:rPr>
          <w:rFonts w:ascii="Calibri" w:hAnsi="Calibri"/>
          <w:b/>
          <w:color w:val="7A5A00"/>
          <w:sz w:val="21"/>
        </w:rPr>
        <w:t xml:space="preserve">Memory hook  </w:t>
      </w:r>
      <w:r>
        <w:rPr>
          <w:rFonts w:ascii="Calibri" w:hAnsi="Calibri"/>
          <w:color w:val="1F2937"/>
          <w:sz w:val="21"/>
        </w:rPr>
        <w:t>Contract -&gt; Invariants -&gt; Types -&gt; Core path -&gt; Edge tests -&gt; Extension</w:t>
      </w:r>
    </w:p>
    <w:p>
      <w:pPr>
        <w:pStyle w:val="Heading2"/>
      </w:pPr>
      <w:r>
        <w:t>Best role-aligned mock: entitlement evaluator</w:t>
      </w:r>
    </w:p>
    <w:p>
      <w:pPr>
        <w:spacing w:before="100" w:after="160" w:line="288" w:lineRule="auto"/>
        <w:ind w:left="432" w:right="360"/>
        <w:shd w:fill="F4F6F9" w:val="clear"/>
        <w:pBdr>
          <w:left w:val="single" w:sz="18" w:space="8" w:color="2E74B5"/>
        </w:pBdr>
      </w:pPr>
      <w:r>
        <w:rPr>
          <w:rFonts w:ascii="Calibri" w:hAnsi="Calibri"/>
          <w:b/>
          <w:color w:val="2E74B5"/>
          <w:sz w:val="19"/>
        </w:rPr>
        <w:t>PRACTICE - inferred; not a reported Ripple question</w:t>
        <w:br/>
      </w:r>
      <w:r>
        <w:rPr>
          <w:rFonts w:ascii="Calibri" w:hAnsi="Calibri"/>
          <w:i/>
          <w:color w:val="0B2545"/>
          <w:sz w:val="21"/>
        </w:rPr>
        <w:t>Implement an in-memory authorization service. Users have customer memberships and scoped role bindings. Policies may require active membership, a permission, production environment, and current KYB. Explicit deny or suspension wins. Return ALLOW/DENY plus reason codes.</w:t>
      </w:r>
    </w:p>
    <w:p>
      <w:pPr>
        <w:spacing w:after="120" w:line="300" w:lineRule="auto"/>
      </w:pPr>
      <w:r>
        <w:rPr>
          <w:rFonts w:ascii="Calibri" w:hAnsi="Calibri"/>
          <w:i w:val="0"/>
          <w:color w:val="1F2937"/>
          <w:sz w:val="22"/>
        </w:rPr>
        <w:t>A clean shape is `AuthorizationService` over injected `FactsRepository`, `PolicyRepository`, and `Clock`, with small `Rule` objects returning structured results. Composite or Strategy is useful only because policy behavior is expected to vary.</w:t>
      </w:r>
    </w:p>
    <w:p>
      <w:pPr>
        <w:numPr>
          <w:ilvl w:val="0"/>
          <w:numId w:val="10"/>
        </w:numPr>
        <w:spacing w:after="80" w:line="300" w:lineRule="auto"/>
      </w:pPr>
      <w:r>
        <w:rPr>
          <w:rFonts w:ascii="Calibri" w:hAnsi="Calibri"/>
          <w:color w:val="1F2937"/>
          <w:sz w:val="21"/>
        </w:rPr>
        <w:t>Valid membership + grant + current KYB allows.</w:t>
      </w:r>
    </w:p>
    <w:p>
      <w:pPr>
        <w:numPr>
          <w:ilvl w:val="0"/>
          <w:numId w:val="10"/>
        </w:numPr>
        <w:spacing w:after="80" w:line="300" w:lineRule="auto"/>
      </w:pPr>
      <w:r>
        <w:rPr>
          <w:rFonts w:ascii="Calibri" w:hAnsi="Calibri"/>
          <w:color w:val="1F2937"/>
          <w:sz w:val="21"/>
        </w:rPr>
        <w:t>Unknown permission, wrong tenant, inactive membership, expired KYB, or missing mandatory fact denies.</w:t>
      </w:r>
    </w:p>
    <w:p>
      <w:pPr>
        <w:numPr>
          <w:ilvl w:val="0"/>
          <w:numId w:val="10"/>
        </w:numPr>
        <w:spacing w:after="80" w:line="300" w:lineRule="auto"/>
      </w:pPr>
      <w:r>
        <w:rPr>
          <w:rFonts w:ascii="Calibri" w:hAnsi="Calibri"/>
          <w:color w:val="1F2937"/>
          <w:sz w:val="21"/>
        </w:rPr>
        <w:t>Explicit deny overrides another role's allow; UAT scope never leaks into production.</w:t>
      </w:r>
    </w:p>
    <w:p>
      <w:pPr>
        <w:numPr>
          <w:ilvl w:val="0"/>
          <w:numId w:val="10"/>
        </w:numPr>
        <w:spacing w:after="80" w:line="300" w:lineRule="auto"/>
      </w:pPr>
      <w:r>
        <w:rPr>
          <w:rFonts w:ascii="Calibri" w:hAnsi="Calibri"/>
          <w:color w:val="1F2937"/>
          <w:sz w:val="21"/>
        </w:rPr>
        <w:t>The exact expiration boundary is deterministic through an injected clock.</w:t>
      </w:r>
    </w:p>
    <w:p>
      <w:pPr>
        <w:numPr>
          <w:ilvl w:val="0"/>
          <w:numId w:val="10"/>
        </w:numPr>
        <w:spacing w:after="80" w:line="300" w:lineRule="auto"/>
      </w:pPr>
      <w:r>
        <w:rPr>
          <w:rFonts w:ascii="Calibri" w:hAnsi="Calibri"/>
          <w:color w:val="1F2937"/>
          <w:sz w:val="21"/>
        </w:rPr>
        <w:t>Multiple roles do not duplicate effects; unknown/new rule types fail safely.</w:t>
      </w:r>
    </w:p>
    <w:p>
      <w:pPr>
        <w:numPr>
          <w:ilvl w:val="0"/>
          <w:numId w:val="10"/>
        </w:numPr>
        <w:spacing w:after="80" w:line="300" w:lineRule="auto"/>
      </w:pPr>
      <w:r>
        <w:rPr>
          <w:rFonts w:ascii="Calibri" w:hAnsi="Calibri"/>
          <w:color w:val="1F2937"/>
          <w:sz w:val="21"/>
        </w:rPr>
        <w:t>Repository failure follows a declared error policy rather than accidentally allowing.</w:t>
      </w:r>
    </w:p>
    <w:p>
      <w:pPr>
        <w:numPr>
          <w:ilvl w:val="0"/>
          <w:numId w:val="10"/>
        </w:numPr>
        <w:spacing w:after="80" w:line="300" w:lineRule="auto"/>
      </w:pPr>
      <w:r>
        <w:rPr>
          <w:rFonts w:ascii="Calibri" w:hAnsi="Calibri"/>
          <w:color w:val="1F2937"/>
          <w:sz w:val="21"/>
        </w:rPr>
        <w:t>A new jurisdiction or IP rule can be added without rewriting the service's core path.</w:t>
      </w:r>
    </w:p>
    <w:p>
      <w:pPr>
        <w:pStyle w:val="Heading2"/>
      </w:pPr>
      <w:r>
        <w:t>Four additional OOP/craftsmanship drills</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450"/>
        <w:gridCol w:w="3300"/>
        <w:gridCol w:w="3610"/>
      </w:tblGrid>
      <w:tr>
        <w:trPr>
          <w:tblHeader w:val="true"/>
          <w:cantSplit w:val="true"/>
        </w:trPr>
        <w:tc>
          <w:tcPr>
            <w:tcW w:type="dxa" w:w="245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PRACTICE exercise</w:t>
            </w:r>
          </w:p>
        </w:tc>
        <w:tc>
          <w:tcPr>
            <w:tcW w:type="dxa" w:w="33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Core design seam</w:t>
            </w:r>
          </w:p>
        </w:tc>
        <w:tc>
          <w:tcPr>
            <w:tcW w:type="dxa" w:w="361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Must-test edges</w:t>
            </w:r>
          </w:p>
        </w:tc>
      </w:tr>
      <w:tr>
        <w:trPr>
          <w:cantSplit w:val="true"/>
        </w:trPr>
        <w:tc>
          <w:tcPr>
            <w:tcW w:type="dxa" w:w="2450"/>
          </w:tcPr>
          <w:p>
            <w:pPr>
              <w:spacing w:after="0" w:line="259" w:lineRule="auto"/>
              <w:jc w:val="left"/>
            </w:pPr>
            <w:r>
              <w:rPr>
                <w:rFonts w:ascii="Calibri" w:hAnsi="Calibri"/>
                <w:b/>
                <w:color w:val="1F2937"/>
                <w:sz w:val="18"/>
              </w:rPr>
              <w:t>Verification lifecycle</w:t>
            </w:r>
          </w:p>
        </w:tc>
        <w:tc>
          <w:tcPr>
            <w:tcW w:type="dxa" w:w="3300"/>
          </w:tcPr>
          <w:p>
            <w:pPr>
              <w:spacing w:after="0" w:line="259" w:lineRule="auto"/>
              <w:jc w:val="left"/>
            </w:pPr>
            <w:r>
              <w:rPr>
                <w:rFonts w:ascii="Calibri" w:hAnsi="Calibri"/>
                <w:b w:val="0"/>
                <w:color w:val="1F2937"/>
                <w:sz w:val="18"/>
              </w:rPr>
              <w:t>Provider adapter + transition policy + repository + idempotency store</w:t>
            </w:r>
          </w:p>
        </w:tc>
        <w:tc>
          <w:tcPr>
            <w:tcW w:type="dxa" w:w="3610"/>
          </w:tcPr>
          <w:p>
            <w:pPr>
              <w:spacing w:after="0" w:line="259" w:lineRule="auto"/>
              <w:jc w:val="left"/>
            </w:pPr>
            <w:r>
              <w:rPr>
                <w:rFonts w:ascii="Calibri" w:hAnsi="Calibri"/>
                <w:b w:val="0"/>
                <w:color w:val="1F2937"/>
                <w:sz w:val="18"/>
              </w:rPr>
              <w:t>Duplicate/stale callback, invalid transition, expiry, retryable failure, atomic history/current state.</w:t>
            </w:r>
          </w:p>
        </w:tc>
      </w:tr>
      <w:tr>
        <w:trPr>
          <w:cantSplit w:val="true"/>
        </w:trPr>
        <w:tc>
          <w:tcPr>
            <w:tcW w:type="dxa" w:w="2450"/>
          </w:tcPr>
          <w:p>
            <w:pPr>
              <w:spacing w:after="0" w:line="259" w:lineRule="auto"/>
              <w:jc w:val="left"/>
            </w:pPr>
            <w:r>
              <w:rPr>
                <w:rFonts w:ascii="Calibri" w:hAnsi="Calibri"/>
                <w:b/>
                <w:color w:val="1F2937"/>
                <w:sz w:val="18"/>
              </w:rPr>
              <w:t>Identity linking/import</w:t>
            </w:r>
          </w:p>
        </w:tc>
        <w:tc>
          <w:tcPr>
            <w:tcW w:type="dxa" w:w="3300"/>
          </w:tcPr>
          <w:p>
            <w:pPr>
              <w:spacing w:after="0" w:line="259" w:lineRule="auto"/>
              <w:jc w:val="left"/>
            </w:pPr>
            <w:r>
              <w:rPr>
                <w:rFonts w:ascii="Calibri" w:hAnsi="Calibri"/>
                <w:b w:val="0"/>
                <w:color w:val="1F2937"/>
                <w:sz w:val="18"/>
              </w:rPr>
              <w:t>Match-rule Strategy + explicit LINKED/NEW/CONFLICT result</w:t>
            </w:r>
          </w:p>
        </w:tc>
        <w:tc>
          <w:tcPr>
            <w:tcW w:type="dxa" w:w="3610"/>
          </w:tcPr>
          <w:p>
            <w:pPr>
              <w:spacing w:after="0" w:line="259" w:lineRule="auto"/>
              <w:jc w:val="left"/>
            </w:pPr>
            <w:r>
              <w:rPr>
                <w:rFonts w:ascii="Calibri" w:hAnsi="Calibri"/>
                <w:b w:val="0"/>
                <w:color w:val="1F2937"/>
                <w:sz w:val="18"/>
              </w:rPr>
              <w:t>Cross-tenant collision, changed email, repeat import, conflicting trusted IDs, ambiguous match.</w:t>
            </w:r>
          </w:p>
        </w:tc>
      </w:tr>
      <w:tr>
        <w:trPr>
          <w:cantSplit w:val="true"/>
        </w:trPr>
        <w:tc>
          <w:tcPr>
            <w:tcW w:type="dxa" w:w="2450"/>
          </w:tcPr>
          <w:p>
            <w:pPr>
              <w:spacing w:after="0" w:line="259" w:lineRule="auto"/>
              <w:jc w:val="left"/>
            </w:pPr>
            <w:r>
              <w:rPr>
                <w:rFonts w:ascii="Calibri" w:hAnsi="Calibri"/>
                <w:b/>
                <w:color w:val="1F2937"/>
                <w:sz w:val="18"/>
              </w:rPr>
              <w:t>Approval workflow</w:t>
            </w:r>
          </w:p>
        </w:tc>
        <w:tc>
          <w:tcPr>
            <w:tcW w:type="dxa" w:w="3300"/>
          </w:tcPr>
          <w:p>
            <w:pPr>
              <w:spacing w:after="0" w:line="259" w:lineRule="auto"/>
              <w:jc w:val="left"/>
            </w:pPr>
            <w:r>
              <w:rPr>
                <w:rFonts w:ascii="Calibri" w:hAnsi="Calibri"/>
                <w:b w:val="0"/>
                <w:color w:val="1F2937"/>
                <w:sz w:val="18"/>
              </w:rPr>
              <w:t>Versioned approval-policy Strategy + immutable history</w:t>
            </w:r>
          </w:p>
        </w:tc>
        <w:tc>
          <w:tcPr>
            <w:tcW w:type="dxa" w:w="3610"/>
          </w:tcPr>
          <w:p>
            <w:pPr>
              <w:spacing w:after="0" w:line="259" w:lineRule="auto"/>
              <w:jc w:val="left"/>
            </w:pPr>
            <w:r>
              <w:rPr>
                <w:rFonts w:ascii="Calibri" w:hAnsi="Calibri"/>
                <w:b w:val="0"/>
                <w:color w:val="1F2937"/>
                <w:sz w:val="18"/>
              </w:rPr>
              <w:t>Proposer approves, duplicate approval, N-of-M boundary, expiration, concurrent final approval.</w:t>
            </w:r>
          </w:p>
        </w:tc>
      </w:tr>
      <w:tr>
        <w:trPr>
          <w:cantSplit w:val="true"/>
        </w:trPr>
        <w:tc>
          <w:tcPr>
            <w:tcW w:type="dxa" w:w="2450"/>
          </w:tcPr>
          <w:p>
            <w:pPr>
              <w:spacing w:after="0" w:line="259" w:lineRule="auto"/>
              <w:jc w:val="left"/>
            </w:pPr>
            <w:r>
              <w:rPr>
                <w:rFonts w:ascii="Calibri" w:hAnsi="Calibri"/>
                <w:b/>
                <w:color w:val="1F2937"/>
                <w:sz w:val="18"/>
              </w:rPr>
              <w:t>Idempotent event dispatcher</w:t>
            </w:r>
          </w:p>
        </w:tc>
        <w:tc>
          <w:tcPr>
            <w:tcW w:type="dxa" w:w="3300"/>
          </w:tcPr>
          <w:p>
            <w:pPr>
              <w:spacing w:after="0" w:line="259" w:lineRule="auto"/>
              <w:jc w:val="left"/>
            </w:pPr>
            <w:r>
              <w:rPr>
                <w:rFonts w:ascii="Calibri" w:hAnsi="Calibri"/>
                <w:b w:val="0"/>
                <w:color w:val="1F2937"/>
                <w:sz w:val="18"/>
              </w:rPr>
              <w:t>Handler registry + inbox + retry policy + dead-letter sink</w:t>
            </w:r>
          </w:p>
        </w:tc>
        <w:tc>
          <w:tcPr>
            <w:tcW w:type="dxa" w:w="3610"/>
          </w:tcPr>
          <w:p>
            <w:pPr>
              <w:spacing w:after="0" w:line="259" w:lineRule="auto"/>
              <w:jc w:val="left"/>
            </w:pPr>
            <w:r>
              <w:rPr>
                <w:rFonts w:ascii="Calibri" w:hAnsi="Calibri"/>
                <w:b w:val="0"/>
                <w:color w:val="1F2937"/>
                <w:sz w:val="18"/>
              </w:rPr>
              <w:t>Duplicate delivery, failure before/after commit, unknown version, aggregate gap, replay.</w:t>
            </w:r>
          </w:p>
        </w:tc>
      </w:tr>
    </w:tbl>
    <w:p>
      <w:pPr>
        <w:spacing w:before="0" w:after="40"/>
      </w:pPr>
    </w:p>
    <w:p>
      <w:pPr>
        <w:pStyle w:val="Heading2"/>
      </w:pPr>
      <w:r>
        <w:t>Previously reported Ripple problem families</w:t>
      </w:r>
    </w:p>
    <w:p>
      <w:pPr>
        <w:spacing w:before="100" w:after="160" w:line="283" w:lineRule="auto"/>
        <w:ind w:left="173" w:right="115"/>
        <w:shd w:fill="FDECEC" w:val="clear"/>
        <w:pBdr>
          <w:left w:val="single" w:sz="18" w:space="8" w:color="9B1C1C"/>
        </w:pBdr>
      </w:pPr>
      <w:r>
        <w:rPr>
          <w:rFonts w:ascii="Calibri" w:hAnsi="Calibri"/>
          <w:b/>
          <w:color w:val="9B1C1C"/>
          <w:sz w:val="21"/>
        </w:rPr>
        <w:t xml:space="preserve">Evidence warning  </w:t>
      </w:r>
      <w:r>
        <w:rPr>
          <w:rFonts w:ascii="Calibri" w:hAnsi="Calibri"/>
          <w:color w:val="1F2937"/>
          <w:sz w:val="21"/>
        </w:rPr>
        <w:t>These are anonymous, team- and year-specific reports. Practice the underlying family and follow-ups; do not memorize an answer or expect recurrence.</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450"/>
        <w:gridCol w:w="1300"/>
        <w:gridCol w:w="4130"/>
        <w:gridCol w:w="1480"/>
      </w:tblGrid>
      <w:tr>
        <w:trPr>
          <w:tblHeader w:val="true"/>
          <w:cantSplit w:val="true"/>
        </w:trPr>
        <w:tc>
          <w:tcPr>
            <w:tcW w:type="dxa" w:w="245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Reported prompt</w:t>
            </w:r>
          </w:p>
        </w:tc>
        <w:tc>
          <w:tcPr>
            <w:tcW w:type="dxa" w:w="13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Role / date</w:t>
            </w:r>
          </w:p>
        </w:tc>
        <w:tc>
          <w:tcPr>
            <w:tcW w:type="dxa" w:w="413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What to rehearse</w:t>
            </w:r>
          </w:p>
        </w:tc>
        <w:tc>
          <w:tcPr>
            <w:tcW w:type="dxa" w:w="148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Confidence</w:t>
            </w:r>
          </w:p>
        </w:tc>
      </w:tr>
      <w:tr>
        <w:trPr>
          <w:cantSplit w:val="true"/>
        </w:trPr>
        <w:tc>
          <w:tcPr>
            <w:tcW w:type="dxa" w:w="2450"/>
          </w:tcPr>
          <w:p>
            <w:pPr>
              <w:spacing w:after="0" w:line="259" w:lineRule="auto"/>
              <w:jc w:val="left"/>
            </w:pPr>
            <w:r>
              <w:rPr>
                <w:rFonts w:ascii="Calibri" w:hAnsi="Calibri"/>
                <w:b/>
                <w:color w:val="1F2937"/>
                <w:sz w:val="17"/>
              </w:rPr>
              <w:t>Weighted currency/crypto conversion graph; lowest-loss path</w:t>
            </w:r>
          </w:p>
        </w:tc>
        <w:tc>
          <w:tcPr>
            <w:tcW w:type="dxa" w:w="1300"/>
          </w:tcPr>
          <w:p>
            <w:pPr>
              <w:spacing w:after="0" w:line="259" w:lineRule="auto"/>
              <w:jc w:val="left"/>
            </w:pPr>
            <w:r>
              <w:rPr>
                <w:rFonts w:ascii="Calibri" w:hAnsi="Calibri"/>
                <w:b w:val="0"/>
                <w:color w:val="1F2937"/>
                <w:sz w:val="17"/>
              </w:rPr>
              <w:t>Senior SWE</w:t>
              <w:br/>
              <w:t>Mar 2026</w:t>
            </w:r>
          </w:p>
        </w:tc>
        <w:tc>
          <w:tcPr>
            <w:tcW w:type="dxa" w:w="4130"/>
          </w:tcPr>
          <w:p>
            <w:pPr>
              <w:spacing w:after="0" w:line="259" w:lineRule="auto"/>
              <w:jc w:val="left"/>
            </w:pPr>
            <w:r>
              <w:rPr>
                <w:rFonts w:ascii="Calibri" w:hAnsi="Calibri"/>
                <w:b w:val="0"/>
                <w:color w:val="1F2937"/>
                <w:sz w:val="17"/>
              </w:rPr>
              <w:t>Multiplicative weights, cycles, Dijkstra assumptions versus fuller traversal, precision, and explaining validity.</w:t>
            </w:r>
          </w:p>
        </w:tc>
        <w:tc>
          <w:tcPr>
            <w:tcW w:type="dxa" w:w="1480"/>
          </w:tcPr>
          <w:p>
            <w:pPr>
              <w:spacing w:after="0" w:line="259" w:lineRule="auto"/>
              <w:jc w:val="left"/>
            </w:pPr>
            <w:r>
              <w:rPr>
                <w:rFonts w:ascii="Calibri" w:hAnsi="Calibri"/>
                <w:b w:val="0"/>
                <w:color w:val="1F2937"/>
                <w:sz w:val="17"/>
              </w:rPr>
              <w:t>High anecdotal</w:t>
            </w:r>
          </w:p>
        </w:tc>
      </w:tr>
      <w:tr>
        <w:trPr>
          <w:cantSplit w:val="true"/>
        </w:trPr>
        <w:tc>
          <w:tcPr>
            <w:tcW w:type="dxa" w:w="2450"/>
          </w:tcPr>
          <w:p>
            <w:pPr>
              <w:spacing w:after="0" w:line="259" w:lineRule="auto"/>
              <w:jc w:val="left"/>
            </w:pPr>
            <w:r>
              <w:rPr>
                <w:rFonts w:ascii="Calibri" w:hAnsi="Calibri"/>
                <w:b/>
                <w:color w:val="1F2937"/>
                <w:sz w:val="17"/>
              </w:rPr>
              <w:t>Buy exact XRP amount from a sell order book under a USD budget</w:t>
            </w:r>
          </w:p>
        </w:tc>
        <w:tc>
          <w:tcPr>
            <w:tcW w:type="dxa" w:w="1300"/>
          </w:tcPr>
          <w:p>
            <w:pPr>
              <w:spacing w:after="0" w:line="259" w:lineRule="auto"/>
              <w:jc w:val="left"/>
            </w:pPr>
            <w:r>
              <w:rPr>
                <w:rFonts w:ascii="Calibri" w:hAnsi="Calibri"/>
                <w:b w:val="0"/>
                <w:color w:val="1F2937"/>
                <w:sz w:val="17"/>
              </w:rPr>
              <w:t>SWE</w:t>
              <w:br/>
              <w:t>Mar 2026</w:t>
            </w:r>
          </w:p>
        </w:tc>
        <w:tc>
          <w:tcPr>
            <w:tcW w:type="dxa" w:w="4130"/>
          </w:tcPr>
          <w:p>
            <w:pPr>
              <w:spacing w:after="0" w:line="259" w:lineRule="auto"/>
              <w:jc w:val="left"/>
            </w:pPr>
            <w:r>
              <w:rPr>
                <w:rFonts w:ascii="Calibri" w:hAnsi="Calibri"/>
                <w:b w:val="0"/>
                <w:color w:val="1F2937"/>
                <w:sz w:val="17"/>
              </w:rPr>
              <w:t>Ordering assumptions, partial fills, decimal precision, malformed input, and tests.</w:t>
            </w:r>
          </w:p>
        </w:tc>
        <w:tc>
          <w:tcPr>
            <w:tcW w:type="dxa" w:w="1480"/>
          </w:tcPr>
          <w:p>
            <w:pPr>
              <w:spacing w:after="0" w:line="259" w:lineRule="auto"/>
              <w:jc w:val="left"/>
            </w:pPr>
            <w:r>
              <w:rPr>
                <w:rFonts w:ascii="Calibri" w:hAnsi="Calibri"/>
                <w:b w:val="0"/>
                <w:color w:val="1F2937"/>
                <w:sz w:val="17"/>
              </w:rPr>
              <w:t>Medium</w:t>
            </w:r>
          </w:p>
        </w:tc>
      </w:tr>
      <w:tr>
        <w:trPr>
          <w:cantSplit w:val="true"/>
        </w:trPr>
        <w:tc>
          <w:tcPr>
            <w:tcW w:type="dxa" w:w="2450"/>
          </w:tcPr>
          <w:p>
            <w:pPr>
              <w:spacing w:after="0" w:line="259" w:lineRule="auto"/>
              <w:jc w:val="left"/>
            </w:pPr>
            <w:r>
              <w:rPr>
                <w:rFonts w:ascii="Calibri" w:hAnsi="Calibri"/>
                <w:b/>
                <w:color w:val="1F2937"/>
                <w:sz w:val="17"/>
              </w:rPr>
              <w:t>Path between two binary-tree nodes; duplicates and BST follow-up</w:t>
            </w:r>
          </w:p>
        </w:tc>
        <w:tc>
          <w:tcPr>
            <w:tcW w:type="dxa" w:w="1300"/>
          </w:tcPr>
          <w:p>
            <w:pPr>
              <w:spacing w:after="0" w:line="259" w:lineRule="auto"/>
              <w:jc w:val="left"/>
            </w:pPr>
            <w:r>
              <w:rPr>
                <w:rFonts w:ascii="Calibri" w:hAnsi="Calibri"/>
                <w:b w:val="0"/>
                <w:color w:val="1F2937"/>
                <w:sz w:val="17"/>
              </w:rPr>
              <w:t>SDE2</w:t>
              <w:br/>
              <w:t>Dec 2025</w:t>
            </w:r>
          </w:p>
        </w:tc>
        <w:tc>
          <w:tcPr>
            <w:tcW w:type="dxa" w:w="4130"/>
          </w:tcPr>
          <w:p>
            <w:pPr>
              <w:spacing w:after="0" w:line="259" w:lineRule="auto"/>
              <w:jc w:val="left"/>
            </w:pPr>
            <w:r>
              <w:rPr>
                <w:rFonts w:ascii="Calibri" w:hAnsi="Calibri"/>
                <w:b w:val="0"/>
                <w:color w:val="1F2937"/>
                <w:sz w:val="17"/>
              </w:rPr>
              <w:t>Traversal/LCA, node identity versus value, duplicates, complexity, follow-up adaptation.</w:t>
            </w:r>
          </w:p>
        </w:tc>
        <w:tc>
          <w:tcPr>
            <w:tcW w:type="dxa" w:w="1480"/>
          </w:tcPr>
          <w:p>
            <w:pPr>
              <w:spacing w:after="0" w:line="259" w:lineRule="auto"/>
              <w:jc w:val="left"/>
            </w:pPr>
            <w:r>
              <w:rPr>
                <w:rFonts w:ascii="Calibri" w:hAnsi="Calibri"/>
                <w:b w:val="0"/>
                <w:color w:val="1F2937"/>
                <w:sz w:val="17"/>
              </w:rPr>
              <w:t>Medium</w:t>
            </w:r>
          </w:p>
        </w:tc>
      </w:tr>
      <w:tr>
        <w:trPr>
          <w:cantSplit w:val="true"/>
        </w:trPr>
        <w:tc>
          <w:tcPr>
            <w:tcW w:type="dxa" w:w="2450"/>
          </w:tcPr>
          <w:p>
            <w:pPr>
              <w:spacing w:after="0" w:line="259" w:lineRule="auto"/>
              <w:jc w:val="left"/>
            </w:pPr>
            <w:r>
              <w:rPr>
                <w:rFonts w:ascii="Calibri" w:hAnsi="Calibri"/>
                <w:b/>
                <w:color w:val="1F2937"/>
                <w:sz w:val="17"/>
              </w:rPr>
              <w:t>Stock updates plus statistics</w:t>
            </w:r>
          </w:p>
        </w:tc>
        <w:tc>
          <w:tcPr>
            <w:tcW w:type="dxa" w:w="1300"/>
          </w:tcPr>
          <w:p>
            <w:pPr>
              <w:spacing w:after="0" w:line="259" w:lineRule="auto"/>
              <w:jc w:val="left"/>
            </w:pPr>
            <w:r>
              <w:rPr>
                <w:rFonts w:ascii="Calibri" w:hAnsi="Calibri"/>
                <w:b w:val="0"/>
                <w:color w:val="1F2937"/>
                <w:sz w:val="17"/>
              </w:rPr>
              <w:t>Staff SWE</w:t>
              <w:br/>
              <w:t>May 2024</w:t>
            </w:r>
          </w:p>
        </w:tc>
        <w:tc>
          <w:tcPr>
            <w:tcW w:type="dxa" w:w="4130"/>
          </w:tcPr>
          <w:p>
            <w:pPr>
              <w:spacing w:after="0" w:line="259" w:lineRule="auto"/>
              <w:jc w:val="left"/>
            </w:pPr>
            <w:r>
              <w:rPr>
                <w:rFonts w:ascii="Calibri" w:hAnsi="Calibri"/>
                <w:b w:val="0"/>
                <w:color w:val="1F2937"/>
                <w:sz w:val="17"/>
              </w:rPr>
              <w:t>Hash maps + ordered structure/heaps, stale entries, update semantics, runnable tests.</w:t>
            </w:r>
          </w:p>
        </w:tc>
        <w:tc>
          <w:tcPr>
            <w:tcW w:type="dxa" w:w="1480"/>
          </w:tcPr>
          <w:p>
            <w:pPr>
              <w:spacing w:after="0" w:line="259" w:lineRule="auto"/>
              <w:jc w:val="left"/>
            </w:pPr>
            <w:r>
              <w:rPr>
                <w:rFonts w:ascii="Calibri" w:hAnsi="Calibri"/>
                <w:b w:val="0"/>
                <w:color w:val="1F2937"/>
                <w:sz w:val="17"/>
              </w:rPr>
              <w:t>High anecdotal; different level</w:t>
            </w:r>
          </w:p>
        </w:tc>
      </w:tr>
      <w:tr>
        <w:trPr>
          <w:cantSplit w:val="true"/>
        </w:trPr>
        <w:tc>
          <w:tcPr>
            <w:tcW w:type="dxa" w:w="2450"/>
          </w:tcPr>
          <w:p>
            <w:pPr>
              <w:spacing w:after="0" w:line="259" w:lineRule="auto"/>
              <w:jc w:val="left"/>
            </w:pPr>
            <w:r>
              <w:rPr>
                <w:rFonts w:ascii="Calibri" w:hAnsi="Calibri"/>
                <w:b/>
                <w:color w:val="1F2937"/>
                <w:sz w:val="17"/>
              </w:rPr>
              <w:t>Tic-Tac-Toe or Minesweeper object design</w:t>
            </w:r>
          </w:p>
        </w:tc>
        <w:tc>
          <w:tcPr>
            <w:tcW w:type="dxa" w:w="1300"/>
          </w:tcPr>
          <w:p>
            <w:pPr>
              <w:spacing w:after="0" w:line="259" w:lineRule="auto"/>
              <w:jc w:val="left"/>
            </w:pPr>
            <w:r>
              <w:rPr>
                <w:rFonts w:ascii="Calibri" w:hAnsi="Calibri"/>
                <w:b w:val="0"/>
                <w:color w:val="1F2937"/>
                <w:sz w:val="17"/>
              </w:rPr>
              <w:t>SWE</w:t>
              <w:br/>
              <w:t>May 2021</w:t>
            </w:r>
          </w:p>
        </w:tc>
        <w:tc>
          <w:tcPr>
            <w:tcW w:type="dxa" w:w="4130"/>
          </w:tcPr>
          <w:p>
            <w:pPr>
              <w:spacing w:after="0" w:line="259" w:lineRule="auto"/>
              <w:jc w:val="left"/>
            </w:pPr>
            <w:r>
              <w:rPr>
                <w:rFonts w:ascii="Calibri" w:hAnsi="Calibri"/>
                <w:b w:val="0"/>
                <w:color w:val="1F2937"/>
                <w:sz w:val="17"/>
              </w:rPr>
              <w:t>State/invariants, interfaces, extensibility, testing, and clean code.</w:t>
            </w:r>
          </w:p>
        </w:tc>
        <w:tc>
          <w:tcPr>
            <w:tcW w:type="dxa" w:w="1480"/>
          </w:tcPr>
          <w:p>
            <w:pPr>
              <w:spacing w:after="0" w:line="259" w:lineRule="auto"/>
              <w:jc w:val="left"/>
            </w:pPr>
            <w:r>
              <w:rPr>
                <w:rFonts w:ascii="Calibri" w:hAnsi="Calibri"/>
                <w:b w:val="0"/>
                <w:color w:val="1F2937"/>
                <w:sz w:val="17"/>
              </w:rPr>
              <w:t>High anecdotal; old</w:t>
            </w:r>
          </w:p>
        </w:tc>
      </w:tr>
      <w:tr>
        <w:trPr>
          <w:cantSplit w:val="true"/>
        </w:trPr>
        <w:tc>
          <w:tcPr>
            <w:tcW w:type="dxa" w:w="2450"/>
          </w:tcPr>
          <w:p>
            <w:pPr>
              <w:spacing w:after="0" w:line="259" w:lineRule="auto"/>
              <w:jc w:val="left"/>
            </w:pPr>
            <w:r>
              <w:rPr>
                <w:rFonts w:ascii="Calibri" w:hAnsi="Calibri"/>
                <w:b/>
                <w:color w:val="1F2937"/>
                <w:sz w:val="17"/>
              </w:rPr>
              <w:t>Most-frequent element/string with progressively better algorithms</w:t>
            </w:r>
          </w:p>
        </w:tc>
        <w:tc>
          <w:tcPr>
            <w:tcW w:type="dxa" w:w="1300"/>
          </w:tcPr>
          <w:p>
            <w:pPr>
              <w:spacing w:after="0" w:line="259" w:lineRule="auto"/>
              <w:jc w:val="left"/>
            </w:pPr>
            <w:r>
              <w:rPr>
                <w:rFonts w:ascii="Calibri" w:hAnsi="Calibri"/>
                <w:b w:val="0"/>
                <w:color w:val="1F2937"/>
                <w:sz w:val="17"/>
              </w:rPr>
              <w:t>SWE</w:t>
              <w:br/>
              <w:t>Sep 2021</w:t>
            </w:r>
          </w:p>
        </w:tc>
        <w:tc>
          <w:tcPr>
            <w:tcW w:type="dxa" w:w="4130"/>
          </w:tcPr>
          <w:p>
            <w:pPr>
              <w:spacing w:after="0" w:line="259" w:lineRule="auto"/>
              <w:jc w:val="left"/>
            </w:pPr>
            <w:r>
              <w:rPr>
                <w:rFonts w:ascii="Calibri" w:hAnsi="Calibri"/>
                <w:b w:val="0"/>
                <w:color w:val="1F2937"/>
                <w:sz w:val="17"/>
              </w:rPr>
              <w:t>Brute force -&gt; optimize -&gt; analyze -&gt; edge tests; communicate each improvement.</w:t>
            </w:r>
          </w:p>
        </w:tc>
        <w:tc>
          <w:tcPr>
            <w:tcW w:type="dxa" w:w="1480"/>
          </w:tcPr>
          <w:p>
            <w:pPr>
              <w:spacing w:after="0" w:line="259" w:lineRule="auto"/>
              <w:jc w:val="left"/>
            </w:pPr>
            <w:r>
              <w:rPr>
                <w:rFonts w:ascii="Calibri" w:hAnsi="Calibri"/>
                <w:b w:val="0"/>
                <w:color w:val="1F2937"/>
                <w:sz w:val="17"/>
              </w:rPr>
              <w:t>High anecdotal; old</w:t>
            </w:r>
          </w:p>
        </w:tc>
      </w:tr>
      <w:tr>
        <w:trPr>
          <w:cantSplit w:val="true"/>
        </w:trPr>
        <w:tc>
          <w:tcPr>
            <w:tcW w:type="dxa" w:w="2450"/>
          </w:tcPr>
          <w:p>
            <w:pPr>
              <w:spacing w:after="0" w:line="259" w:lineRule="auto"/>
              <w:jc w:val="left"/>
            </w:pPr>
            <w:r>
              <w:rPr>
                <w:rFonts w:ascii="Calibri" w:hAnsi="Calibri"/>
                <w:b/>
                <w:color w:val="1F2937"/>
                <w:sz w:val="17"/>
              </w:rPr>
              <w:t>LRU cache</w:t>
            </w:r>
          </w:p>
        </w:tc>
        <w:tc>
          <w:tcPr>
            <w:tcW w:type="dxa" w:w="1300"/>
          </w:tcPr>
          <w:p>
            <w:pPr>
              <w:spacing w:after="0" w:line="259" w:lineRule="auto"/>
              <w:jc w:val="left"/>
            </w:pPr>
            <w:r>
              <w:rPr>
                <w:rFonts w:ascii="Calibri" w:hAnsi="Calibri"/>
                <w:b w:val="0"/>
                <w:color w:val="1F2937"/>
                <w:sz w:val="17"/>
              </w:rPr>
              <w:t>Undated aggregator</w:t>
            </w:r>
          </w:p>
        </w:tc>
        <w:tc>
          <w:tcPr>
            <w:tcW w:type="dxa" w:w="4130"/>
          </w:tcPr>
          <w:p>
            <w:pPr>
              <w:spacing w:after="0" w:line="259" w:lineRule="auto"/>
              <w:jc w:val="left"/>
            </w:pPr>
            <w:r>
              <w:rPr>
                <w:rFonts w:ascii="Calibri" w:hAnsi="Calibri"/>
                <w:b w:val="0"/>
                <w:color w:val="1F2937"/>
                <w:sz w:val="17"/>
              </w:rPr>
              <w:t>Hash map + doubly linked list, invariants, update semantics, O(1) operations.</w:t>
            </w:r>
          </w:p>
        </w:tc>
        <w:tc>
          <w:tcPr>
            <w:tcW w:type="dxa" w:w="1480"/>
          </w:tcPr>
          <w:p>
            <w:pPr>
              <w:spacing w:after="0" w:line="259" w:lineRule="auto"/>
              <w:jc w:val="left"/>
            </w:pPr>
            <w:r>
              <w:rPr>
                <w:rFonts w:ascii="Calibri" w:hAnsi="Calibri"/>
                <w:b w:val="0"/>
                <w:color w:val="1F2937"/>
                <w:sz w:val="17"/>
              </w:rPr>
              <w:t>Medium-low</w:t>
            </w:r>
          </w:p>
        </w:tc>
      </w:tr>
    </w:tbl>
    <w:p>
      <w:pPr>
        <w:spacing w:before="80" w:after="80"/>
      </w:pPr>
      <w:r>
        <w:rPr>
          <w:rFonts w:ascii="Calibri" w:hAnsi="Calibri"/>
          <w:i/>
          <w:color w:val="5F6B7A"/>
          <w:sz w:val="17"/>
        </w:rPr>
        <w:t>Sources and links appear in Section 9. Exact public process reports vary; your current Ripple materials are authoritative.</w:t>
      </w:r>
    </w:p>
    <w:p>
      <w:pPr>
        <w:pStyle w:val="Heading2"/>
      </w:pPr>
      <w:r>
        <w:t>Testing matrix to say out loud</w:t>
      </w:r>
    </w:p>
    <w:p>
      <w:pPr>
        <w:numPr>
          <w:ilvl w:val="0"/>
          <w:numId w:val="10"/>
        </w:numPr>
        <w:spacing w:after="80" w:line="300" w:lineRule="auto"/>
      </w:pPr>
      <w:r>
        <w:rPr>
          <w:rFonts w:ascii="Calibri" w:hAnsi="Calibri"/>
          <w:b/>
          <w:color w:val="1F2937"/>
          <w:sz w:val="21"/>
        </w:rPr>
        <w:t xml:space="preserve">Happy path: </w:t>
      </w:r>
      <w:r>
        <w:rPr>
          <w:rFonts w:ascii="Calibri" w:hAnsi="Calibri"/>
          <w:color w:val="1F2937"/>
          <w:sz w:val="21"/>
        </w:rPr>
        <w:t>one representative normal case with expected output.</w:t>
      </w:r>
    </w:p>
    <w:p>
      <w:pPr>
        <w:numPr>
          <w:ilvl w:val="0"/>
          <w:numId w:val="10"/>
        </w:numPr>
        <w:spacing w:after="80" w:line="300" w:lineRule="auto"/>
      </w:pPr>
      <w:r>
        <w:rPr>
          <w:rFonts w:ascii="Calibri" w:hAnsi="Calibri"/>
          <w:b/>
          <w:color w:val="1F2937"/>
          <w:sz w:val="21"/>
        </w:rPr>
        <w:t xml:space="preserve">Empty/minimal: </w:t>
      </w:r>
      <w:r>
        <w:rPr>
          <w:rFonts w:ascii="Calibri" w:hAnsi="Calibri"/>
          <w:color w:val="1F2937"/>
          <w:sz w:val="21"/>
        </w:rPr>
        <w:t>empty collection, one element, missing optional value, or zero capacity.</w:t>
      </w:r>
    </w:p>
    <w:p>
      <w:pPr>
        <w:numPr>
          <w:ilvl w:val="0"/>
          <w:numId w:val="10"/>
        </w:numPr>
        <w:spacing w:after="80" w:line="300" w:lineRule="auto"/>
      </w:pPr>
      <w:r>
        <w:rPr>
          <w:rFonts w:ascii="Calibri" w:hAnsi="Calibri"/>
          <w:b/>
          <w:color w:val="1F2937"/>
          <w:sz w:val="21"/>
        </w:rPr>
        <w:t xml:space="preserve">Boundary: </w:t>
      </w:r>
      <w:r>
        <w:rPr>
          <w:rFonts w:ascii="Calibri" w:hAnsi="Calibri"/>
          <w:color w:val="1F2937"/>
          <w:sz w:val="21"/>
        </w:rPr>
        <w:t>exact expiry/time/size threshold; duplicates; stable ordering; integer/decimal precision.</w:t>
      </w:r>
    </w:p>
    <w:p>
      <w:pPr>
        <w:numPr>
          <w:ilvl w:val="0"/>
          <w:numId w:val="10"/>
        </w:numPr>
        <w:spacing w:after="80" w:line="300" w:lineRule="auto"/>
      </w:pPr>
      <w:r>
        <w:rPr>
          <w:rFonts w:ascii="Calibri" w:hAnsi="Calibri"/>
          <w:b/>
          <w:color w:val="1F2937"/>
          <w:sz w:val="21"/>
        </w:rPr>
        <w:t xml:space="preserve">Invalid/conflict: </w:t>
      </w:r>
      <w:r>
        <w:rPr>
          <w:rFonts w:ascii="Calibri" w:hAnsi="Calibri"/>
          <w:color w:val="1F2937"/>
          <w:sz w:val="21"/>
        </w:rPr>
        <w:t>wrong tenant, invalid transition, contradictory input, reused idempotency key.</w:t>
      </w:r>
    </w:p>
    <w:p>
      <w:pPr>
        <w:numPr>
          <w:ilvl w:val="0"/>
          <w:numId w:val="10"/>
        </w:numPr>
        <w:spacing w:after="80" w:line="300" w:lineRule="auto"/>
      </w:pPr>
      <w:r>
        <w:rPr>
          <w:rFonts w:ascii="Calibri" w:hAnsi="Calibri"/>
          <w:b/>
          <w:color w:val="1F2937"/>
          <w:sz w:val="21"/>
        </w:rPr>
        <w:t xml:space="preserve">Failure: </w:t>
      </w:r>
      <w:r>
        <w:rPr>
          <w:rFonts w:ascii="Calibri" w:hAnsi="Calibri"/>
          <w:color w:val="1F2937"/>
          <w:sz w:val="21"/>
        </w:rPr>
        <w:t>dependency exception, partial operation, retry, or unsupported version.</w:t>
      </w:r>
    </w:p>
    <w:p>
      <w:pPr>
        <w:numPr>
          <w:ilvl w:val="0"/>
          <w:numId w:val="10"/>
        </w:numPr>
        <w:spacing w:after="80" w:line="300" w:lineRule="auto"/>
      </w:pPr>
      <w:r>
        <w:rPr>
          <w:rFonts w:ascii="Calibri" w:hAnsi="Calibri"/>
          <w:b/>
          <w:color w:val="1F2937"/>
          <w:sz w:val="21"/>
        </w:rPr>
        <w:t xml:space="preserve">Extension: </w:t>
      </w:r>
      <w:r>
        <w:rPr>
          <w:rFonts w:ascii="Calibri" w:hAnsi="Calibri"/>
          <w:color w:val="1F2937"/>
          <w:sz w:val="21"/>
        </w:rPr>
        <w:t>new rule/provider/statistic without changing the existing correct core.</w:t>
      </w:r>
    </w:p>
    <w:p>
      <w:pPr>
        <w:pStyle w:val="Heading2"/>
      </w:pPr>
      <w:r>
        <w:t>Common failure modes</w:t>
      </w:r>
    </w:p>
    <w:p>
      <w:pPr>
        <w:numPr>
          <w:ilvl w:val="0"/>
          <w:numId w:val="10"/>
        </w:numPr>
        <w:spacing w:after="80" w:line="300" w:lineRule="auto"/>
      </w:pPr>
      <w:r>
        <w:rPr>
          <w:rFonts w:ascii="Calibri" w:hAnsi="Calibri"/>
          <w:color w:val="1F2937"/>
          <w:sz w:val="21"/>
        </w:rPr>
        <w:t>Coding before the contract and examples are agreed.</w:t>
      </w:r>
    </w:p>
    <w:p>
      <w:pPr>
        <w:numPr>
          <w:ilvl w:val="0"/>
          <w:numId w:val="10"/>
        </w:numPr>
        <w:spacing w:after="80" w:line="300" w:lineRule="auto"/>
      </w:pPr>
      <w:r>
        <w:rPr>
          <w:rFonts w:ascii="Calibri" w:hAnsi="Calibri"/>
          <w:color w:val="1F2937"/>
          <w:sz w:val="21"/>
        </w:rPr>
        <w:t>Pattern theater: too many classes, inheritance, or frameworks before a working path exists.</w:t>
      </w:r>
    </w:p>
    <w:p>
      <w:pPr>
        <w:numPr>
          <w:ilvl w:val="0"/>
          <w:numId w:val="10"/>
        </w:numPr>
        <w:spacing w:after="80" w:line="300" w:lineRule="auto"/>
      </w:pPr>
      <w:r>
        <w:rPr>
          <w:rFonts w:ascii="Calibri" w:hAnsi="Calibri"/>
          <w:color w:val="1F2937"/>
          <w:sz w:val="21"/>
        </w:rPr>
        <w:t>A single monolithic method, static/global state, or dependencies that cannot be substituted in tests.</w:t>
      </w:r>
    </w:p>
    <w:p>
      <w:pPr>
        <w:numPr>
          <w:ilvl w:val="0"/>
          <w:numId w:val="10"/>
        </w:numPr>
        <w:spacing w:after="80" w:line="300" w:lineRule="auto"/>
      </w:pPr>
      <w:r>
        <w:rPr>
          <w:rFonts w:ascii="Calibri" w:hAnsi="Calibri"/>
          <w:color w:val="1F2937"/>
          <w:sz w:val="21"/>
        </w:rPr>
        <w:t>Saying complexity without justifying it from access patterns or failing to revisit assumptions after a follow-up.</w:t>
      </w:r>
    </w:p>
    <w:p>
      <w:pPr>
        <w:numPr>
          <w:ilvl w:val="0"/>
          <w:numId w:val="10"/>
        </w:numPr>
        <w:spacing w:after="80" w:line="300" w:lineRule="auto"/>
      </w:pPr>
      <w:r>
        <w:rPr>
          <w:rFonts w:ascii="Calibri" w:hAnsi="Calibri"/>
          <w:color w:val="1F2937"/>
          <w:sz w:val="21"/>
        </w:rPr>
        <w:t>Only narrating. Type, compile/run, and demonstrate tests. Fix bugs calmly and openly.</w:t>
      </w:r>
    </w:p>
    <w:p>
      <w:pPr>
        <w:pStyle w:val="Heading1"/>
      </w:pPr>
      <w:r>
        <w:t>6. Collaboration, values, and project evidence</w:t>
      </w:r>
    </w:p>
    <w:p>
      <w:pPr>
        <w:spacing w:before="100" w:after="160" w:line="283" w:lineRule="auto"/>
        <w:ind w:left="173" w:right="115"/>
        <w:shd w:fill="F4F6F9" w:val="clear"/>
        <w:pBdr>
          <w:left w:val="single" w:sz="18" w:space="8" w:color="2E74B5"/>
        </w:pBdr>
      </w:pPr>
      <w:r>
        <w:rPr>
          <w:rFonts w:ascii="Calibri" w:hAnsi="Calibri"/>
          <w:b/>
          <w:color w:val="2E74B5"/>
          <w:sz w:val="21"/>
        </w:rPr>
        <w:t xml:space="preserve">OFFICIAL focus  </w:t>
      </w:r>
      <w:r>
        <w:rPr>
          <w:rFonts w:ascii="Calibri" w:hAnsi="Calibri"/>
          <w:color w:val="1F2937"/>
          <w:sz w:val="21"/>
        </w:rPr>
        <w:t>Conflict, roadmap changes, ambiguity, and cross-functional partnership. Ripple evaluates the LEGGOS values: Live It, Enjoy It, Get It Done, Go For It, Own It, and Say It.</w:t>
      </w:r>
    </w:p>
    <w:p>
      <w:pPr>
        <w:pStyle w:val="Heading2"/>
      </w:pPr>
      <w:r>
        <w:t>Answer shape: STAR-L in 90-150 seconds</w:t>
      </w:r>
    </w:p>
    <w:p>
      <w:pPr>
        <w:numPr>
          <w:ilvl w:val="0"/>
          <w:numId w:val="10"/>
        </w:numPr>
        <w:spacing w:after="80" w:line="300" w:lineRule="auto"/>
      </w:pPr>
      <w:r>
        <w:rPr>
          <w:rFonts w:ascii="Calibri" w:hAnsi="Calibri"/>
          <w:b/>
          <w:color w:val="1F2937"/>
          <w:sz w:val="21"/>
        </w:rPr>
        <w:t xml:space="preserve">Situation (15-20 sec): </w:t>
      </w:r>
      <w:r>
        <w:rPr>
          <w:rFonts w:ascii="Calibri" w:hAnsi="Calibri"/>
          <w:color w:val="1F2937"/>
          <w:sz w:val="21"/>
        </w:rPr>
        <w:t>Only the context needed to understand stakes, actors, and constraints.</w:t>
      </w:r>
    </w:p>
    <w:p>
      <w:pPr>
        <w:numPr>
          <w:ilvl w:val="0"/>
          <w:numId w:val="10"/>
        </w:numPr>
        <w:spacing w:after="80" w:line="300" w:lineRule="auto"/>
      </w:pPr>
      <w:r>
        <w:rPr>
          <w:rFonts w:ascii="Calibri" w:hAnsi="Calibri"/>
          <w:b/>
          <w:color w:val="1F2937"/>
          <w:sz w:val="21"/>
        </w:rPr>
        <w:t xml:space="preserve">Task/tension (15-25 sec): </w:t>
      </w:r>
      <w:r>
        <w:rPr>
          <w:rFonts w:ascii="Calibri" w:hAnsi="Calibri"/>
          <w:color w:val="1F2937"/>
          <w:sz w:val="21"/>
        </w:rPr>
        <w:t>Make the disagreement, ambiguity, risk, or failure explicit. Name competing goals fairly.</w:t>
      </w:r>
    </w:p>
    <w:p>
      <w:pPr>
        <w:numPr>
          <w:ilvl w:val="0"/>
          <w:numId w:val="10"/>
        </w:numPr>
        <w:spacing w:after="80" w:line="300" w:lineRule="auto"/>
      </w:pPr>
      <w:r>
        <w:rPr>
          <w:rFonts w:ascii="Calibri" w:hAnsi="Calibri"/>
          <w:b/>
          <w:color w:val="1F2937"/>
          <w:sz w:val="21"/>
        </w:rPr>
        <w:t xml:space="preserve">Action (45-75 sec): </w:t>
      </w:r>
      <w:r>
        <w:rPr>
          <w:rFonts w:ascii="Calibri" w:hAnsi="Calibri"/>
          <w:color w:val="1F2937"/>
          <w:sz w:val="21"/>
        </w:rPr>
        <w:t>Use "I" for your decisions and work; explain how you built shared context, evaluated options, communicated risk, and changed course.</w:t>
      </w:r>
    </w:p>
    <w:p>
      <w:pPr>
        <w:numPr>
          <w:ilvl w:val="0"/>
          <w:numId w:val="10"/>
        </w:numPr>
        <w:spacing w:after="80" w:line="300" w:lineRule="auto"/>
      </w:pPr>
      <w:r>
        <w:rPr>
          <w:rFonts w:ascii="Calibri" w:hAnsi="Calibri"/>
          <w:b/>
          <w:color w:val="1F2937"/>
          <w:sz w:val="21"/>
        </w:rPr>
        <w:t xml:space="preserve">Result (15-25 sec): </w:t>
      </w:r>
      <w:r>
        <w:rPr>
          <w:rFonts w:ascii="Calibri" w:hAnsi="Calibri"/>
          <w:color w:val="1F2937"/>
          <w:sz w:val="21"/>
        </w:rPr>
        <w:t>Give the biggest measurable business/engineering outcome and stakeholder result.</w:t>
      </w:r>
    </w:p>
    <w:p>
      <w:pPr>
        <w:numPr>
          <w:ilvl w:val="0"/>
          <w:numId w:val="10"/>
        </w:numPr>
        <w:spacing w:after="80" w:line="300" w:lineRule="auto"/>
      </w:pPr>
      <w:r>
        <w:rPr>
          <w:rFonts w:ascii="Calibri" w:hAnsi="Calibri"/>
          <w:b/>
          <w:color w:val="1F2937"/>
          <w:sz w:val="21"/>
        </w:rPr>
        <w:t xml:space="preserve">Learning (15-25 sec): </w:t>
      </w:r>
      <w:r>
        <w:rPr>
          <w:rFonts w:ascii="Calibri" w:hAnsi="Calibri"/>
          <w:color w:val="1F2937"/>
          <w:sz w:val="21"/>
        </w:rPr>
        <w:t>State the mistake, tradeoff, or concrete change you would make now. Do not end with a generic lesson.</w:t>
      </w:r>
    </w:p>
    <w:p>
      <w:pPr>
        <w:spacing w:before="100" w:after="160" w:line="283" w:lineRule="auto"/>
        <w:ind w:left="173" w:right="115"/>
        <w:shd w:fill="FFF8E8" w:val="clear"/>
        <w:pBdr>
          <w:left w:val="single" w:sz="18" w:space="8" w:color="7A5A00"/>
        </w:pBdr>
      </w:pPr>
      <w:r>
        <w:rPr>
          <w:rFonts w:ascii="Calibri" w:hAnsi="Calibri"/>
          <w:b/>
          <w:color w:val="7A5A00"/>
          <w:sz w:val="21"/>
        </w:rPr>
        <w:t xml:space="preserve">Senior-level signal  </w:t>
      </w:r>
      <w:r>
        <w:rPr>
          <w:rFonts w:ascii="Calibri" w:hAnsi="Calibri"/>
          <w:color w:val="1F2937"/>
          <w:sz w:val="21"/>
        </w:rPr>
        <w:t>Show judgment under constraints and influence across boundaries - not just that you completed assigned work.</w:t>
      </w:r>
    </w:p>
    <w:p>
      <w:pPr>
        <w:pStyle w:val="Heading2"/>
      </w:pPr>
      <w:r>
        <w:t>Six-story bank anchored in your resume</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400"/>
        <w:gridCol w:w="2700"/>
        <w:gridCol w:w="4260"/>
      </w:tblGrid>
      <w:tr>
        <w:trPr>
          <w:tblHeader w:val="true"/>
          <w:cantSplit w:val="true"/>
        </w:trPr>
        <w:tc>
          <w:tcPr>
            <w:tcW w:type="dxa" w:w="24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Story candidate</w:t>
            </w:r>
          </w:p>
        </w:tc>
        <w:tc>
          <w:tcPr>
            <w:tcW w:type="dxa" w:w="27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Best values / question families</w:t>
            </w:r>
          </w:p>
        </w:tc>
        <w:tc>
          <w:tcPr>
            <w:tcW w:type="dxa" w:w="426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Fill before rehearsal</w:t>
            </w:r>
          </w:p>
        </w:tc>
      </w:tr>
      <w:tr>
        <w:trPr>
          <w:cantSplit w:val="true"/>
        </w:trPr>
        <w:tc>
          <w:tcPr>
            <w:tcW w:type="dxa" w:w="2400"/>
          </w:tcPr>
          <w:p>
            <w:pPr>
              <w:spacing w:after="0" w:line="259" w:lineRule="auto"/>
              <w:jc w:val="left"/>
            </w:pPr>
            <w:r>
              <w:rPr>
                <w:rFonts w:ascii="Calibri" w:hAnsi="Calibri"/>
                <w:b/>
                <w:color w:val="1F2937"/>
                <w:sz w:val="17"/>
              </w:rPr>
              <w:t>Cross-regional recommendation platform</w:t>
            </w:r>
          </w:p>
        </w:tc>
        <w:tc>
          <w:tcPr>
            <w:tcW w:type="dxa" w:w="2700"/>
          </w:tcPr>
          <w:p>
            <w:pPr>
              <w:spacing w:after="0" w:line="259" w:lineRule="auto"/>
              <w:jc w:val="left"/>
            </w:pPr>
            <w:r>
              <w:rPr>
                <w:rFonts w:ascii="Calibri" w:hAnsi="Calibri"/>
                <w:b w:val="0"/>
                <w:color w:val="1F2937"/>
                <w:sz w:val="17"/>
              </w:rPr>
              <w:t>Say It; Live It; conflict; migration; alignment</w:t>
            </w:r>
          </w:p>
        </w:tc>
        <w:tc>
          <w:tcPr>
            <w:tcW w:type="dxa" w:w="4260"/>
          </w:tcPr>
          <w:p>
            <w:pPr>
              <w:spacing w:after="0" w:line="259" w:lineRule="auto"/>
              <w:jc w:val="left"/>
            </w:pPr>
            <w:r>
              <w:rPr>
                <w:rFonts w:ascii="Calibri" w:hAnsi="Calibri"/>
                <w:b w:val="0"/>
                <w:color w:val="1F2937"/>
                <w:sz w:val="17"/>
              </w:rPr>
              <w:t>Who disagreed? Which contract/architecture choice? Consumer migration plan? Reliability target? Outcome and hindsight?</w:t>
            </w:r>
          </w:p>
        </w:tc>
      </w:tr>
      <w:tr>
        <w:trPr>
          <w:cantSplit w:val="true"/>
        </w:trPr>
        <w:tc>
          <w:tcPr>
            <w:tcW w:type="dxa" w:w="2400"/>
          </w:tcPr>
          <w:p>
            <w:pPr>
              <w:spacing w:after="0" w:line="259" w:lineRule="auto"/>
              <w:jc w:val="left"/>
            </w:pPr>
            <w:r>
              <w:rPr>
                <w:rFonts w:ascii="Calibri" w:hAnsi="Calibri"/>
                <w:b/>
                <w:color w:val="1F2937"/>
                <w:sz w:val="17"/>
              </w:rPr>
              <w:t>Unified user profiles</w:t>
            </w:r>
          </w:p>
        </w:tc>
        <w:tc>
          <w:tcPr>
            <w:tcW w:type="dxa" w:w="2700"/>
          </w:tcPr>
          <w:p>
            <w:pPr>
              <w:spacing w:after="0" w:line="259" w:lineRule="auto"/>
              <w:jc w:val="left"/>
            </w:pPr>
            <w:r>
              <w:rPr>
                <w:rFonts w:ascii="Calibri" w:hAnsi="Calibri"/>
                <w:b w:val="0"/>
                <w:color w:val="1F2937"/>
                <w:sz w:val="17"/>
              </w:rPr>
              <w:t>Own It; ambiguity; identity/data model; system design depth</w:t>
            </w:r>
          </w:p>
        </w:tc>
        <w:tc>
          <w:tcPr>
            <w:tcW w:type="dxa" w:w="4260"/>
          </w:tcPr>
          <w:p>
            <w:pPr>
              <w:spacing w:after="0" w:line="259" w:lineRule="auto"/>
              <w:jc w:val="left"/>
            </w:pPr>
            <w:r>
              <w:rPr>
                <w:rFonts w:ascii="Calibri" w:hAnsi="Calibri"/>
                <w:b w:val="0"/>
                <w:color w:val="1F2937"/>
                <w:sz w:val="17"/>
              </w:rPr>
              <w:t>Canonical entities/IDs? Duplicate/merge policy? Sources? Scale? Ownership? Data-quality incident? Business result?</w:t>
            </w:r>
          </w:p>
        </w:tc>
      </w:tr>
      <w:tr>
        <w:trPr>
          <w:cantSplit w:val="true"/>
        </w:trPr>
        <w:tc>
          <w:tcPr>
            <w:tcW w:type="dxa" w:w="2400"/>
          </w:tcPr>
          <w:p>
            <w:pPr>
              <w:spacing w:after="0" w:line="259" w:lineRule="auto"/>
              <w:jc w:val="left"/>
            </w:pPr>
            <w:r>
              <w:rPr>
                <w:rFonts w:ascii="Calibri" w:hAnsi="Calibri"/>
                <w:b/>
                <w:color w:val="1F2937"/>
                <w:sz w:val="17"/>
              </w:rPr>
              <w:t>Bulk content system - led five engineers; +1,400% capacity</w:t>
            </w:r>
          </w:p>
        </w:tc>
        <w:tc>
          <w:tcPr>
            <w:tcW w:type="dxa" w:w="2700"/>
          </w:tcPr>
          <w:p>
            <w:pPr>
              <w:spacing w:after="0" w:line="259" w:lineRule="auto"/>
              <w:jc w:val="left"/>
            </w:pPr>
            <w:r>
              <w:rPr>
                <w:rFonts w:ascii="Calibri" w:hAnsi="Calibri"/>
                <w:b w:val="0"/>
                <w:color w:val="1F2937"/>
                <w:sz w:val="17"/>
              </w:rPr>
              <w:t>Get It Done; Own It; leadership; competing deadlines</w:t>
            </w:r>
          </w:p>
        </w:tc>
        <w:tc>
          <w:tcPr>
            <w:tcW w:type="dxa" w:w="4260"/>
          </w:tcPr>
          <w:p>
            <w:pPr>
              <w:spacing w:after="0" w:line="259" w:lineRule="auto"/>
              <w:jc w:val="left"/>
            </w:pPr>
            <w:r>
              <w:rPr>
                <w:rFonts w:ascii="Calibri" w:hAnsi="Calibri"/>
                <w:b w:val="0"/>
                <w:color w:val="1F2937"/>
                <w:sz w:val="17"/>
              </w:rPr>
              <w:t>Planning stages, delegated work, critical path, quality bar, risk, your implementation, rollout, and exact capacity baseline.</w:t>
            </w:r>
          </w:p>
        </w:tc>
      </w:tr>
      <w:tr>
        <w:trPr>
          <w:cantSplit w:val="true"/>
        </w:trPr>
        <w:tc>
          <w:tcPr>
            <w:tcW w:type="dxa" w:w="2400"/>
          </w:tcPr>
          <w:p>
            <w:pPr>
              <w:spacing w:after="0" w:line="259" w:lineRule="auto"/>
              <w:jc w:val="left"/>
            </w:pPr>
            <w:r>
              <w:rPr>
                <w:rFonts w:ascii="Calibri" w:hAnsi="Calibri"/>
                <w:b/>
                <w:color w:val="1F2937"/>
                <w:sz w:val="17"/>
              </w:rPr>
              <w:t>Kafka targeted-offer pipeline - $10M incremental revenue</w:t>
            </w:r>
          </w:p>
        </w:tc>
        <w:tc>
          <w:tcPr>
            <w:tcW w:type="dxa" w:w="2700"/>
          </w:tcPr>
          <w:p>
            <w:pPr>
              <w:spacing w:after="0" w:line="259" w:lineRule="auto"/>
              <w:jc w:val="left"/>
            </w:pPr>
            <w:r>
              <w:rPr>
                <w:rFonts w:ascii="Calibri" w:hAnsi="Calibri"/>
                <w:b w:val="0"/>
                <w:color w:val="1F2937"/>
                <w:sz w:val="17"/>
              </w:rPr>
              <w:t>Get It Done; Go For It; event-driven execution</w:t>
            </w:r>
          </w:p>
        </w:tc>
        <w:tc>
          <w:tcPr>
            <w:tcW w:type="dxa" w:w="4260"/>
          </w:tcPr>
          <w:p>
            <w:pPr>
              <w:spacing w:after="0" w:line="259" w:lineRule="auto"/>
              <w:jc w:val="left"/>
            </w:pPr>
            <w:r>
              <w:rPr>
                <w:rFonts w:ascii="Calibri" w:hAnsi="Calibri"/>
                <w:b w:val="0"/>
                <w:color w:val="1F2937"/>
                <w:sz w:val="17"/>
              </w:rPr>
              <w:t>Idempotency/order/failure design, launch tradeoff, cross-functional partners, attribution method, and operational learning.</w:t>
            </w:r>
          </w:p>
        </w:tc>
      </w:tr>
      <w:tr>
        <w:trPr>
          <w:cantSplit w:val="true"/>
        </w:trPr>
        <w:tc>
          <w:tcPr>
            <w:tcW w:type="dxa" w:w="2400"/>
          </w:tcPr>
          <w:p>
            <w:pPr>
              <w:spacing w:after="0" w:line="259" w:lineRule="auto"/>
              <w:jc w:val="left"/>
            </w:pPr>
            <w:r>
              <w:rPr>
                <w:rFonts w:ascii="Calibri" w:hAnsi="Calibri"/>
                <w:b/>
                <w:color w:val="1F2937"/>
                <w:sz w:val="17"/>
              </w:rPr>
              <w:t>Self-serve analytics - 40% fewer incidents/impression loss</w:t>
            </w:r>
          </w:p>
        </w:tc>
        <w:tc>
          <w:tcPr>
            <w:tcW w:type="dxa" w:w="2700"/>
          </w:tcPr>
          <w:p>
            <w:pPr>
              <w:spacing w:after="0" w:line="259" w:lineRule="auto"/>
              <w:jc w:val="left"/>
            </w:pPr>
            <w:r>
              <w:rPr>
                <w:rFonts w:ascii="Calibri" w:hAnsi="Calibri"/>
                <w:b w:val="0"/>
                <w:color w:val="1F2937"/>
                <w:sz w:val="17"/>
              </w:rPr>
              <w:t>Own It; failure; operational rigor</w:t>
            </w:r>
          </w:p>
        </w:tc>
        <w:tc>
          <w:tcPr>
            <w:tcW w:type="dxa" w:w="4260"/>
          </w:tcPr>
          <w:p>
            <w:pPr>
              <w:spacing w:after="0" w:line="259" w:lineRule="auto"/>
              <w:jc w:val="left"/>
            </w:pPr>
            <w:r>
              <w:rPr>
                <w:rFonts w:ascii="Calibri" w:hAnsi="Calibri"/>
                <w:b w:val="0"/>
                <w:color w:val="1F2937"/>
                <w:sz w:val="17"/>
              </w:rPr>
              <w:t>What broke before? Root cause? Observability/testing change? Your decision? Incident metric definition?</w:t>
            </w:r>
          </w:p>
        </w:tc>
      </w:tr>
      <w:tr>
        <w:trPr>
          <w:cantSplit w:val="true"/>
        </w:trPr>
        <w:tc>
          <w:tcPr>
            <w:tcW w:type="dxa" w:w="2400"/>
          </w:tcPr>
          <w:p>
            <w:pPr>
              <w:spacing w:after="0" w:line="259" w:lineRule="auto"/>
              <w:jc w:val="left"/>
            </w:pPr>
            <w:r>
              <w:rPr>
                <w:rFonts w:ascii="Calibri" w:hAnsi="Calibri"/>
                <w:b/>
                <w:color w:val="1F2937"/>
                <w:sz w:val="17"/>
              </w:rPr>
              <w:t>AI marketing agent - 90% faster go-live</w:t>
            </w:r>
          </w:p>
        </w:tc>
        <w:tc>
          <w:tcPr>
            <w:tcW w:type="dxa" w:w="2700"/>
          </w:tcPr>
          <w:p>
            <w:pPr>
              <w:spacing w:after="0" w:line="259" w:lineRule="auto"/>
              <w:jc w:val="left"/>
            </w:pPr>
            <w:r>
              <w:rPr>
                <w:rFonts w:ascii="Calibri" w:hAnsi="Calibri"/>
                <w:b w:val="0"/>
                <w:color w:val="1F2937"/>
                <w:sz w:val="17"/>
              </w:rPr>
              <w:t>Go For It; Enjoy It; calculated risk; innovation</w:t>
            </w:r>
          </w:p>
        </w:tc>
        <w:tc>
          <w:tcPr>
            <w:tcW w:type="dxa" w:w="4260"/>
          </w:tcPr>
          <w:p>
            <w:pPr>
              <w:spacing w:after="0" w:line="259" w:lineRule="auto"/>
              <w:jc w:val="left"/>
            </w:pPr>
            <w:r>
              <w:rPr>
                <w:rFonts w:ascii="Calibri" w:hAnsi="Calibri"/>
                <w:b w:val="0"/>
                <w:color w:val="1F2937"/>
                <w:sz w:val="17"/>
              </w:rPr>
              <w:t>Why AI was justified, guardrails/evaluation, skeptical stakeholder, rollout, quality metric, and what you changed after feedback.</w:t>
            </w:r>
          </w:p>
        </w:tc>
      </w:tr>
      <w:tr>
        <w:trPr>
          <w:cantSplit w:val="true"/>
        </w:trPr>
        <w:tc>
          <w:tcPr>
            <w:tcW w:type="dxa" w:w="2400"/>
          </w:tcPr>
          <w:p>
            <w:pPr>
              <w:spacing w:after="0" w:line="259" w:lineRule="auto"/>
              <w:jc w:val="left"/>
            </w:pPr>
            <w:r>
              <w:rPr>
                <w:rFonts w:ascii="Calibri" w:hAnsi="Calibri"/>
                <w:b/>
                <w:color w:val="1F2937"/>
                <w:sz w:val="17"/>
              </w:rPr>
              <w:t>Pricing management - $20M savings / 50% efficiency</w:t>
            </w:r>
          </w:p>
        </w:tc>
        <w:tc>
          <w:tcPr>
            <w:tcW w:type="dxa" w:w="2700"/>
          </w:tcPr>
          <w:p>
            <w:pPr>
              <w:spacing w:after="0" w:line="259" w:lineRule="auto"/>
              <w:jc w:val="left"/>
            </w:pPr>
            <w:r>
              <w:rPr>
                <w:rFonts w:ascii="Calibri" w:hAnsi="Calibri"/>
                <w:b w:val="0"/>
                <w:color w:val="1F2937"/>
                <w:sz w:val="17"/>
              </w:rPr>
              <w:t>Say It; product partnership; critical workflow</w:t>
            </w:r>
          </w:p>
        </w:tc>
        <w:tc>
          <w:tcPr>
            <w:tcW w:type="dxa" w:w="4260"/>
          </w:tcPr>
          <w:p>
            <w:pPr>
              <w:spacing w:after="0" w:line="259" w:lineRule="auto"/>
              <w:jc w:val="left"/>
            </w:pPr>
            <w:r>
              <w:rPr>
                <w:rFonts w:ascii="Calibri" w:hAnsi="Calibri"/>
                <w:b w:val="0"/>
                <w:color w:val="1F2937"/>
                <w:sz w:val="17"/>
              </w:rPr>
              <w:t>Tradeoff among product, engineering, and finance/risk; architecture; correctness; release decision; measurement.</w:t>
            </w:r>
          </w:p>
        </w:tc>
      </w:tr>
      <w:tr>
        <w:trPr>
          <w:cantSplit w:val="true"/>
        </w:trPr>
        <w:tc>
          <w:tcPr>
            <w:tcW w:type="dxa" w:w="2400"/>
          </w:tcPr>
          <w:p>
            <w:pPr>
              <w:spacing w:after="0" w:line="259" w:lineRule="auto"/>
              <w:jc w:val="left"/>
            </w:pPr>
            <w:r>
              <w:rPr>
                <w:rFonts w:ascii="Calibri" w:hAnsi="Calibri"/>
                <w:b/>
                <w:color w:val="1F2937"/>
                <w:sz w:val="17"/>
              </w:rPr>
              <w:t>Real failure or mistake - choose one</w:t>
            </w:r>
          </w:p>
        </w:tc>
        <w:tc>
          <w:tcPr>
            <w:tcW w:type="dxa" w:w="2700"/>
          </w:tcPr>
          <w:p>
            <w:pPr>
              <w:spacing w:after="0" w:line="259" w:lineRule="auto"/>
              <w:jc w:val="left"/>
            </w:pPr>
            <w:r>
              <w:rPr>
                <w:rFonts w:ascii="Calibri" w:hAnsi="Calibri"/>
                <w:b w:val="0"/>
                <w:color w:val="1F2937"/>
                <w:sz w:val="17"/>
              </w:rPr>
              <w:t>Live It; Own It; Say It</w:t>
            </w:r>
          </w:p>
        </w:tc>
        <w:tc>
          <w:tcPr>
            <w:tcW w:type="dxa" w:w="4260"/>
          </w:tcPr>
          <w:p>
            <w:pPr>
              <w:spacing w:after="0" w:line="259" w:lineRule="auto"/>
              <w:jc w:val="left"/>
            </w:pPr>
            <w:r>
              <w:rPr>
                <w:rFonts w:ascii="Calibri" w:hAnsi="Calibri"/>
                <w:b w:val="0"/>
                <w:color w:val="1F2937"/>
                <w:sz w:val="17"/>
              </w:rPr>
              <w:t>Do not fabricate. Pick a consequential but recoverable error, your accountability, repair, stakeholder communication, and durable prevention.</w:t>
            </w:r>
          </w:p>
        </w:tc>
      </w:tr>
    </w:tbl>
    <w:p>
      <w:pPr>
        <w:spacing w:before="80" w:after="80"/>
      </w:pPr>
      <w:r>
        <w:rPr>
          <w:rFonts w:ascii="Calibri" w:hAnsi="Calibri"/>
          <w:i/>
          <w:color w:val="5F6B7A"/>
          <w:sz w:val="17"/>
        </w:rPr>
        <w:t>The project names and resume metrics are factual anchors. The questions in the final column are prompts, not assumed facts.</w:t>
      </w:r>
    </w:p>
    <w:p>
      <w:pPr>
        <w:pStyle w:val="Heading2"/>
      </w:pPr>
      <w:r>
        <w:t>Official Ripple sample questions</w:t>
      </w:r>
    </w:p>
    <w:p>
      <w:pPr>
        <w:spacing w:after="120" w:line="300" w:lineRule="auto"/>
      </w:pPr>
      <w:r>
        <w:rPr>
          <w:rFonts w:ascii="Calibri" w:hAnsi="Calibri"/>
          <w:i w:val="0"/>
          <w:color w:val="1F2937"/>
          <w:sz w:val="22"/>
        </w:rPr>
        <w:t>These questions come directly from Ripple's attached Candidate Experience Guide. Ripple says the exact questions may differ, but these show the intended conversation.</w:t>
      </w:r>
    </w:p>
    <w:p>
      <w:pPr>
        <w:pStyle w:val="Heading3"/>
      </w:pPr>
      <w:r>
        <w:t>Live It - adaptability, resilience, self-awareness</w:t>
      </w:r>
    </w:p>
    <w:p>
      <w:pPr>
        <w:numPr>
          <w:ilvl w:val="0"/>
          <w:numId w:val="10"/>
        </w:numPr>
        <w:spacing w:after="80" w:line="300" w:lineRule="auto"/>
      </w:pPr>
      <w:r>
        <w:rPr>
          <w:rFonts w:ascii="Calibri" w:hAnsi="Calibri"/>
          <w:color w:val="1F2937"/>
          <w:sz w:val="21"/>
        </w:rPr>
        <w:t>Tell me about a time when your team or company was undergoing change. How did that impact you, and how did you adapt?</w:t>
      </w:r>
    </w:p>
    <w:p>
      <w:pPr>
        <w:numPr>
          <w:ilvl w:val="0"/>
          <w:numId w:val="10"/>
        </w:numPr>
        <w:spacing w:after="80" w:line="300" w:lineRule="auto"/>
      </w:pPr>
      <w:r>
        <w:rPr>
          <w:rFonts w:ascii="Calibri" w:hAnsi="Calibri"/>
          <w:color w:val="1F2937"/>
          <w:sz w:val="21"/>
        </w:rPr>
        <w:t>Give an example of a time you had to think on your feet to get out of a difficult situation.</w:t>
      </w:r>
    </w:p>
    <w:p>
      <w:pPr>
        <w:numPr>
          <w:ilvl w:val="0"/>
          <w:numId w:val="10"/>
        </w:numPr>
        <w:spacing w:after="80" w:line="300" w:lineRule="auto"/>
      </w:pPr>
      <w:r>
        <w:rPr>
          <w:rFonts w:ascii="Calibri" w:hAnsi="Calibri"/>
          <w:color w:val="1F2937"/>
          <w:sz w:val="21"/>
        </w:rPr>
        <w:t>Describe a time when you failed. How did you deal with it?</w:t>
      </w:r>
    </w:p>
    <w:p>
      <w:pPr>
        <w:pStyle w:val="Heading3"/>
      </w:pPr>
      <w:r>
        <w:t>Own It - accountability, detail, integrity</w:t>
      </w:r>
    </w:p>
    <w:p>
      <w:pPr>
        <w:numPr>
          <w:ilvl w:val="0"/>
          <w:numId w:val="10"/>
        </w:numPr>
        <w:spacing w:after="80" w:line="300" w:lineRule="auto"/>
      </w:pPr>
      <w:r>
        <w:rPr>
          <w:rFonts w:ascii="Calibri" w:hAnsi="Calibri"/>
          <w:color w:val="1F2937"/>
          <w:sz w:val="21"/>
        </w:rPr>
        <w:t>Describe a situation where you took responsibility for a mistake or challenge. How did you resolve it, and what did you learn?</w:t>
      </w:r>
    </w:p>
    <w:p>
      <w:pPr>
        <w:numPr>
          <w:ilvl w:val="0"/>
          <w:numId w:val="10"/>
        </w:numPr>
        <w:spacing w:after="80" w:line="300" w:lineRule="auto"/>
      </w:pPr>
      <w:r>
        <w:rPr>
          <w:rFonts w:ascii="Calibri" w:hAnsi="Calibri"/>
          <w:color w:val="1F2937"/>
          <w:sz w:val="21"/>
        </w:rPr>
        <w:t>Tell me about a time you led a project and had to ensure every detail was completed correctly. What was your approach?</w:t>
      </w:r>
    </w:p>
    <w:p>
      <w:pPr>
        <w:numPr>
          <w:ilvl w:val="0"/>
          <w:numId w:val="10"/>
        </w:numPr>
        <w:spacing w:after="80" w:line="300" w:lineRule="auto"/>
      </w:pPr>
      <w:r>
        <w:rPr>
          <w:rFonts w:ascii="Calibri" w:hAnsi="Calibri"/>
          <w:color w:val="1F2937"/>
          <w:sz w:val="21"/>
        </w:rPr>
        <w:t>Give an example of a time you took the lead in resolving a difficult situation.</w:t>
      </w:r>
    </w:p>
    <w:p>
      <w:pPr>
        <w:pStyle w:val="Heading3"/>
      </w:pPr>
      <w:r>
        <w:t>Go For It - bold decisions and ambitious goals</w:t>
      </w:r>
    </w:p>
    <w:p>
      <w:pPr>
        <w:numPr>
          <w:ilvl w:val="0"/>
          <w:numId w:val="10"/>
        </w:numPr>
        <w:spacing w:after="80" w:line="300" w:lineRule="auto"/>
      </w:pPr>
      <w:r>
        <w:rPr>
          <w:rFonts w:ascii="Calibri" w:hAnsi="Calibri"/>
          <w:color w:val="1F2937"/>
          <w:sz w:val="21"/>
        </w:rPr>
        <w:t>Tell me about a time you had to make a bold decision with limited information. How did you approach it, and what was the outcome?</w:t>
      </w:r>
    </w:p>
    <w:p>
      <w:pPr>
        <w:numPr>
          <w:ilvl w:val="0"/>
          <w:numId w:val="10"/>
        </w:numPr>
        <w:spacing w:after="80" w:line="300" w:lineRule="auto"/>
      </w:pPr>
      <w:r>
        <w:rPr>
          <w:rFonts w:ascii="Calibri" w:hAnsi="Calibri"/>
          <w:color w:val="1F2937"/>
          <w:sz w:val="21"/>
        </w:rPr>
        <w:t>Give an example of a time you set an ambitious goal for yourself or your team. How did you achieve it?</w:t>
      </w:r>
    </w:p>
    <w:p>
      <w:pPr>
        <w:numPr>
          <w:ilvl w:val="0"/>
          <w:numId w:val="10"/>
        </w:numPr>
        <w:spacing w:after="80" w:line="300" w:lineRule="auto"/>
      </w:pPr>
      <w:r>
        <w:rPr>
          <w:rFonts w:ascii="Calibri" w:hAnsi="Calibri"/>
          <w:color w:val="1F2937"/>
          <w:sz w:val="21"/>
        </w:rPr>
        <w:t>Describe a situation where you saw an opportunity to innovate or improve something. What steps did you take?</w:t>
      </w:r>
    </w:p>
    <w:p>
      <w:pPr>
        <w:pStyle w:val="Heading3"/>
      </w:pPr>
      <w:r>
        <w:t>Enjoy It - creativity and composure</w:t>
      </w:r>
    </w:p>
    <w:p>
      <w:pPr>
        <w:numPr>
          <w:ilvl w:val="0"/>
          <w:numId w:val="10"/>
        </w:numPr>
        <w:spacing w:after="80" w:line="300" w:lineRule="auto"/>
      </w:pPr>
      <w:r>
        <w:rPr>
          <w:rFonts w:ascii="Calibri" w:hAnsi="Calibri"/>
          <w:color w:val="1F2937"/>
          <w:sz w:val="21"/>
        </w:rPr>
        <w:t>Tell me about a problem you solved in a unique or creative way. What was the outcome?</w:t>
      </w:r>
    </w:p>
    <w:p>
      <w:pPr>
        <w:numPr>
          <w:ilvl w:val="0"/>
          <w:numId w:val="10"/>
        </w:numPr>
        <w:spacing w:after="80" w:line="300" w:lineRule="auto"/>
      </w:pPr>
      <w:r>
        <w:rPr>
          <w:rFonts w:ascii="Calibri" w:hAnsi="Calibri"/>
          <w:color w:val="1F2937"/>
          <w:sz w:val="21"/>
        </w:rPr>
        <w:t>Describe a time you had to balance competing priorities under pressure. How did you manage it?</w:t>
      </w:r>
    </w:p>
    <w:p>
      <w:pPr>
        <w:numPr>
          <w:ilvl w:val="0"/>
          <w:numId w:val="10"/>
        </w:numPr>
        <w:spacing w:after="80" w:line="300" w:lineRule="auto"/>
      </w:pPr>
      <w:r>
        <w:rPr>
          <w:rFonts w:ascii="Calibri" w:hAnsi="Calibri"/>
          <w:color w:val="1F2937"/>
          <w:sz w:val="21"/>
        </w:rPr>
        <w:t>When was the last time you thought outside the box? What inspired you?</w:t>
      </w:r>
    </w:p>
    <w:p>
      <w:pPr>
        <w:pStyle w:val="Heading3"/>
      </w:pPr>
      <w:r>
        <w:t>Say It - clarity, honesty, and purposeful communication</w:t>
      </w:r>
    </w:p>
    <w:p>
      <w:pPr>
        <w:numPr>
          <w:ilvl w:val="0"/>
          <w:numId w:val="10"/>
        </w:numPr>
        <w:spacing w:after="80" w:line="300" w:lineRule="auto"/>
      </w:pPr>
      <w:r>
        <w:rPr>
          <w:rFonts w:ascii="Calibri" w:hAnsi="Calibri"/>
          <w:color w:val="1F2937"/>
          <w:sz w:val="21"/>
        </w:rPr>
        <w:t>Give an example of a time you explained something complex to someone unfamiliar with it. How did you ensure clarity?</w:t>
      </w:r>
    </w:p>
    <w:p>
      <w:pPr>
        <w:numPr>
          <w:ilvl w:val="0"/>
          <w:numId w:val="10"/>
        </w:numPr>
        <w:spacing w:after="80" w:line="300" w:lineRule="auto"/>
      </w:pPr>
      <w:r>
        <w:rPr>
          <w:rFonts w:ascii="Calibri" w:hAnsi="Calibri"/>
          <w:color w:val="1F2937"/>
          <w:sz w:val="21"/>
        </w:rPr>
        <w:t>Tell me about a time you successfully persuaded someone to see things your way at work.</w:t>
      </w:r>
    </w:p>
    <w:p>
      <w:pPr>
        <w:numPr>
          <w:ilvl w:val="0"/>
          <w:numId w:val="10"/>
        </w:numPr>
        <w:spacing w:after="80" w:line="300" w:lineRule="auto"/>
      </w:pPr>
      <w:r>
        <w:rPr>
          <w:rFonts w:ascii="Calibri" w:hAnsi="Calibri"/>
          <w:color w:val="1F2937"/>
          <w:sz w:val="21"/>
        </w:rPr>
        <w:t>Describe a situation where effective communication made a significant difference in achieving a goal.</w:t>
      </w:r>
    </w:p>
    <w:p>
      <w:pPr>
        <w:pStyle w:val="Heading3"/>
      </w:pPr>
      <w:r>
        <w:t>Get It Done - focus, prioritization, and results</w:t>
      </w:r>
    </w:p>
    <w:p>
      <w:pPr>
        <w:numPr>
          <w:ilvl w:val="0"/>
          <w:numId w:val="10"/>
        </w:numPr>
        <w:spacing w:after="80" w:line="300" w:lineRule="auto"/>
      </w:pPr>
      <w:r>
        <w:rPr>
          <w:rFonts w:ascii="Calibri" w:hAnsi="Calibri"/>
          <w:color w:val="1F2937"/>
          <w:sz w:val="21"/>
        </w:rPr>
        <w:t>Think of a time you had to manage multiple projects and tight deadlines. How did you handle it, and what was the result?</w:t>
      </w:r>
    </w:p>
    <w:p>
      <w:pPr>
        <w:numPr>
          <w:ilvl w:val="0"/>
          <w:numId w:val="10"/>
        </w:numPr>
        <w:spacing w:after="80" w:line="300" w:lineRule="auto"/>
      </w:pPr>
      <w:r>
        <w:rPr>
          <w:rFonts w:ascii="Calibri" w:hAnsi="Calibri"/>
          <w:color w:val="1F2937"/>
          <w:sz w:val="21"/>
        </w:rPr>
        <w:t>Describe a situation where you analyzed information and made a recommendation. What was your thought process and outcome?</w:t>
      </w:r>
    </w:p>
    <w:p>
      <w:pPr>
        <w:numPr>
          <w:ilvl w:val="0"/>
          <w:numId w:val="10"/>
        </w:numPr>
        <w:spacing w:after="80" w:line="300" w:lineRule="auto"/>
      </w:pPr>
      <w:r>
        <w:rPr>
          <w:rFonts w:ascii="Calibri" w:hAnsi="Calibri"/>
          <w:color w:val="1F2937"/>
          <w:sz w:val="21"/>
        </w:rPr>
        <w:t>Tell me about a time you were given a challenging task. How did you approach it, and what was the result?</w:t>
      </w:r>
    </w:p>
    <w:p>
      <w:pPr>
        <w:pStyle w:val="Heading2"/>
      </w:pPr>
      <w:r>
        <w:t>High-probability cross-functional probes</w:t>
      </w:r>
    </w:p>
    <w:p>
      <w:pPr>
        <w:numPr>
          <w:ilvl w:val="0"/>
          <w:numId w:val="10"/>
        </w:numPr>
        <w:spacing w:after="80" w:line="300" w:lineRule="auto"/>
      </w:pPr>
      <w:r>
        <w:rPr>
          <w:rFonts w:ascii="Calibri" w:hAnsi="Calibri"/>
          <w:b/>
          <w:color w:val="1F2937"/>
          <w:sz w:val="21"/>
        </w:rPr>
        <w:t xml:space="preserve">PRACTICE - </w:t>
      </w:r>
      <w:r>
        <w:rPr>
          <w:rFonts w:ascii="Calibri" w:hAnsi="Calibri"/>
          <w:color w:val="1F2937"/>
          <w:sz w:val="21"/>
        </w:rPr>
        <w:t>Tell me about a disagreement between Product and Engineering. What did each side care about, and how was the decision made?</w:t>
      </w:r>
    </w:p>
    <w:p>
      <w:pPr>
        <w:numPr>
          <w:ilvl w:val="0"/>
          <w:numId w:val="10"/>
        </w:numPr>
        <w:spacing w:after="80" w:line="300" w:lineRule="auto"/>
      </w:pPr>
      <w:r>
        <w:rPr>
          <w:rFonts w:ascii="Calibri" w:hAnsi="Calibri"/>
          <w:b/>
          <w:color w:val="1F2937"/>
          <w:sz w:val="21"/>
        </w:rPr>
        <w:t xml:space="preserve">PRACTICE - </w:t>
      </w:r>
      <w:r>
        <w:rPr>
          <w:rFonts w:ascii="Calibri" w:hAnsi="Calibri"/>
          <w:color w:val="1F2937"/>
          <w:sz w:val="21"/>
        </w:rPr>
        <w:t>A roadmap priority changes after engineering has committed. What do you do in the first 24 hours?</w:t>
      </w:r>
    </w:p>
    <w:p>
      <w:pPr>
        <w:numPr>
          <w:ilvl w:val="0"/>
          <w:numId w:val="10"/>
        </w:numPr>
        <w:spacing w:after="80" w:line="300" w:lineRule="auto"/>
      </w:pPr>
      <w:r>
        <w:rPr>
          <w:rFonts w:ascii="Calibri" w:hAnsi="Calibri"/>
          <w:b/>
          <w:color w:val="1F2937"/>
          <w:sz w:val="21"/>
        </w:rPr>
        <w:t xml:space="preserve">PRACTICE - </w:t>
      </w:r>
      <w:r>
        <w:rPr>
          <w:rFonts w:ascii="Calibri" w:hAnsi="Calibri"/>
          <w:color w:val="1F2937"/>
          <w:sz w:val="21"/>
        </w:rPr>
        <w:t>When did you surface a risk that others did not want to hear? How did you remain direct without becoming adversarial?</w:t>
      </w:r>
    </w:p>
    <w:p>
      <w:pPr>
        <w:numPr>
          <w:ilvl w:val="0"/>
          <w:numId w:val="10"/>
        </w:numPr>
        <w:spacing w:after="80" w:line="300" w:lineRule="auto"/>
      </w:pPr>
      <w:r>
        <w:rPr>
          <w:rFonts w:ascii="Calibri" w:hAnsi="Calibri"/>
          <w:b/>
          <w:color w:val="1F2937"/>
          <w:sz w:val="21"/>
        </w:rPr>
        <w:t xml:space="preserve">PRACTICE - </w:t>
      </w:r>
      <w:r>
        <w:rPr>
          <w:rFonts w:ascii="Calibri" w:hAnsi="Calibri"/>
          <w:color w:val="1F2937"/>
          <w:sz w:val="21"/>
        </w:rPr>
        <w:t>Describe a time Compliance, Risk, Security, or another control function constrained the fastest path. How did you reframe the decision?</w:t>
      </w:r>
    </w:p>
    <w:p>
      <w:pPr>
        <w:numPr>
          <w:ilvl w:val="0"/>
          <w:numId w:val="10"/>
        </w:numPr>
        <w:spacing w:after="80" w:line="300" w:lineRule="auto"/>
      </w:pPr>
      <w:r>
        <w:rPr>
          <w:rFonts w:ascii="Calibri" w:hAnsi="Calibri"/>
          <w:b/>
          <w:color w:val="1F2937"/>
          <w:sz w:val="21"/>
        </w:rPr>
        <w:t xml:space="preserve">PRACTICE - </w:t>
      </w:r>
      <w:r>
        <w:rPr>
          <w:rFonts w:ascii="Calibri" w:hAnsi="Calibri"/>
          <w:color w:val="1F2937"/>
          <w:sz w:val="21"/>
        </w:rPr>
        <w:t>What was a technical bet that failed or needed revision? What did you personally own, and what durable system/process change followed?</w:t>
      </w:r>
    </w:p>
    <w:p>
      <w:pPr>
        <w:numPr>
          <w:ilvl w:val="0"/>
          <w:numId w:val="10"/>
        </w:numPr>
        <w:spacing w:after="80" w:line="300" w:lineRule="auto"/>
      </w:pPr>
      <w:r>
        <w:rPr>
          <w:rFonts w:ascii="Calibri" w:hAnsi="Calibri"/>
          <w:b/>
          <w:color w:val="1F2937"/>
          <w:sz w:val="21"/>
        </w:rPr>
        <w:t xml:space="preserve">PRACTICE - </w:t>
      </w:r>
      <w:r>
        <w:rPr>
          <w:rFonts w:ascii="Calibri" w:hAnsi="Calibri"/>
          <w:color w:val="1F2937"/>
          <w:sz w:val="21"/>
        </w:rPr>
        <w:t>How do you reduce technical debt while still delivering urgent business value? Give a specific example.</w:t>
      </w:r>
    </w:p>
    <w:p>
      <w:pPr>
        <w:numPr>
          <w:ilvl w:val="0"/>
          <w:numId w:val="10"/>
        </w:numPr>
        <w:spacing w:after="80" w:line="300" w:lineRule="auto"/>
      </w:pPr>
      <w:r>
        <w:rPr>
          <w:rFonts w:ascii="Calibri" w:hAnsi="Calibri"/>
          <w:b/>
          <w:color w:val="1F2937"/>
          <w:sz w:val="21"/>
        </w:rPr>
        <w:t xml:space="preserve">PRACTICE - </w:t>
      </w:r>
      <w:r>
        <w:rPr>
          <w:rFonts w:ascii="Calibri" w:hAnsi="Calibri"/>
          <w:color w:val="1F2937"/>
          <w:sz w:val="21"/>
        </w:rPr>
        <w:t>How have you mentored or raised the quality bar without becoming a bottleneck?</w:t>
      </w:r>
    </w:p>
    <w:p>
      <w:pPr>
        <w:pStyle w:val="Heading2"/>
      </w:pPr>
      <w:r>
        <w:t>Two-minute project walkthrough</w:t>
      </w:r>
    </w:p>
    <w:p>
      <w:pPr>
        <w:spacing w:after="120" w:line="300" w:lineRule="auto"/>
      </w:pPr>
      <w:r>
        <w:rPr>
          <w:rFonts w:ascii="Calibri" w:hAnsi="Calibri"/>
          <w:i w:val="0"/>
          <w:color w:val="1F2937"/>
          <w:sz w:val="22"/>
        </w:rPr>
        <w:t>Prepare this even though the current Senior onsite does not list a standalone project round. It is the fastest way to answer system-design credibility and behavioral follow-ups.</w:t>
      </w:r>
    </w:p>
    <w:p>
      <w:pPr>
        <w:numPr>
          <w:ilvl w:val="0"/>
          <w:numId w:val="10"/>
        </w:numPr>
        <w:spacing w:after="80" w:line="300" w:lineRule="auto"/>
      </w:pPr>
      <w:r>
        <w:rPr>
          <w:rFonts w:ascii="Calibri" w:hAnsi="Calibri"/>
          <w:b/>
          <w:color w:val="1F2937"/>
          <w:sz w:val="21"/>
        </w:rPr>
        <w:t xml:space="preserve">0:00-0:20 - </w:t>
      </w:r>
      <w:r>
        <w:rPr>
          <w:rFonts w:ascii="Calibri" w:hAnsi="Calibri"/>
          <w:color w:val="1F2937"/>
          <w:sz w:val="21"/>
        </w:rPr>
        <w:t>Problem, users, stakes, and your responsibility.</w:t>
      </w:r>
    </w:p>
    <w:p>
      <w:pPr>
        <w:numPr>
          <w:ilvl w:val="0"/>
          <w:numId w:val="10"/>
        </w:numPr>
        <w:spacing w:after="80" w:line="300" w:lineRule="auto"/>
      </w:pPr>
      <w:r>
        <w:rPr>
          <w:rFonts w:ascii="Calibri" w:hAnsi="Calibri"/>
          <w:b/>
          <w:color w:val="1F2937"/>
          <w:sz w:val="21"/>
        </w:rPr>
        <w:t xml:space="preserve">0:20-0:45 - </w:t>
      </w:r>
      <w:r>
        <w:rPr>
          <w:rFonts w:ascii="Calibri" w:hAnsi="Calibri"/>
          <w:color w:val="1F2937"/>
          <w:sz w:val="21"/>
        </w:rPr>
        <w:t>Scale/constraints and the high-level architecture.</w:t>
      </w:r>
    </w:p>
    <w:p>
      <w:pPr>
        <w:numPr>
          <w:ilvl w:val="0"/>
          <w:numId w:val="10"/>
        </w:numPr>
        <w:spacing w:after="80" w:line="300" w:lineRule="auto"/>
      </w:pPr>
      <w:r>
        <w:rPr>
          <w:rFonts w:ascii="Calibri" w:hAnsi="Calibri"/>
          <w:b/>
          <w:color w:val="1F2937"/>
          <w:sz w:val="21"/>
        </w:rPr>
        <w:t xml:space="preserve">0:45-1:15 - </w:t>
      </w:r>
      <w:r>
        <w:rPr>
          <w:rFonts w:ascii="Calibri" w:hAnsi="Calibri"/>
          <w:color w:val="1F2937"/>
          <w:sz w:val="21"/>
        </w:rPr>
        <w:t>The non-obvious decision, alternatives, and why your tradeoff won.</w:t>
      </w:r>
    </w:p>
    <w:p>
      <w:pPr>
        <w:numPr>
          <w:ilvl w:val="0"/>
          <w:numId w:val="10"/>
        </w:numPr>
        <w:spacing w:after="80" w:line="300" w:lineRule="auto"/>
      </w:pPr>
      <w:r>
        <w:rPr>
          <w:rFonts w:ascii="Calibri" w:hAnsi="Calibri"/>
          <w:b/>
          <w:color w:val="1F2937"/>
          <w:sz w:val="21"/>
        </w:rPr>
        <w:t xml:space="preserve">1:15-1:35 - </w:t>
      </w:r>
      <w:r>
        <w:rPr>
          <w:rFonts w:ascii="Calibri" w:hAnsi="Calibri"/>
          <w:color w:val="1F2937"/>
          <w:sz w:val="21"/>
        </w:rPr>
        <w:t>Migration/reliability/operations and a hard failure mode.</w:t>
      </w:r>
    </w:p>
    <w:p>
      <w:pPr>
        <w:numPr>
          <w:ilvl w:val="0"/>
          <w:numId w:val="10"/>
        </w:numPr>
        <w:spacing w:after="80" w:line="300" w:lineRule="auto"/>
      </w:pPr>
      <w:r>
        <w:rPr>
          <w:rFonts w:ascii="Calibri" w:hAnsi="Calibri"/>
          <w:b/>
          <w:color w:val="1F2937"/>
          <w:sz w:val="21"/>
        </w:rPr>
        <w:t xml:space="preserve">1:35-1:50 - </w:t>
      </w:r>
      <w:r>
        <w:rPr>
          <w:rFonts w:ascii="Calibri" w:hAnsi="Calibri"/>
          <w:color w:val="1F2937"/>
          <w:sz w:val="21"/>
        </w:rPr>
        <w:t>Largest measurable result.</w:t>
      </w:r>
    </w:p>
    <w:p>
      <w:pPr>
        <w:numPr>
          <w:ilvl w:val="0"/>
          <w:numId w:val="10"/>
        </w:numPr>
        <w:spacing w:after="80" w:line="300" w:lineRule="auto"/>
      </w:pPr>
      <w:r>
        <w:rPr>
          <w:rFonts w:ascii="Calibri" w:hAnsi="Calibri"/>
          <w:b/>
          <w:color w:val="1F2937"/>
          <w:sz w:val="21"/>
        </w:rPr>
        <w:t xml:space="preserve">1:50-2:00 - </w:t>
      </w:r>
      <w:r>
        <w:rPr>
          <w:rFonts w:ascii="Calibri" w:hAnsi="Calibri"/>
          <w:color w:val="1F2937"/>
          <w:sz w:val="21"/>
        </w:rPr>
        <w:t>What you would change now; invite the interviewer to choose a layer for deeper discussion.</w:t>
      </w:r>
    </w:p>
    <w:p>
      <w:pPr>
        <w:spacing w:before="100" w:after="160" w:line="288" w:lineRule="auto"/>
        <w:ind w:left="432" w:right="360"/>
        <w:shd w:fill="F4F6F9" w:val="clear"/>
        <w:pBdr>
          <w:left w:val="single" w:sz="18" w:space="8" w:color="2E74B5"/>
        </w:pBdr>
      </w:pPr>
      <w:r>
        <w:rPr>
          <w:rFonts w:ascii="Calibri" w:hAnsi="Calibri"/>
          <w:b/>
          <w:color w:val="2E74B5"/>
          <w:sz w:val="19"/>
        </w:rPr>
        <w:t>Close with control and openness</w:t>
        <w:br/>
      </w:r>
      <w:r>
        <w:rPr>
          <w:rFonts w:ascii="Calibri" w:hAnsi="Calibri"/>
          <w:i/>
          <w:color w:val="0B2545"/>
          <w:sz w:val="21"/>
        </w:rPr>
        <w:t>I can go deeper on the data model, API contracts, event flow, migration, or failure handling - which would be most useful?</w:t>
      </w:r>
    </w:p>
    <w:p>
      <w:pPr>
        <w:pStyle w:val="Heading2"/>
      </w:pPr>
      <w:r>
        <w:t>Behavioral red flags to remove</w:t>
      </w:r>
    </w:p>
    <w:p>
      <w:pPr>
        <w:numPr>
          <w:ilvl w:val="0"/>
          <w:numId w:val="10"/>
        </w:numPr>
        <w:spacing w:after="80" w:line="300" w:lineRule="auto"/>
      </w:pPr>
      <w:r>
        <w:rPr>
          <w:rFonts w:ascii="Calibri" w:hAnsi="Calibri"/>
          <w:color w:val="1F2937"/>
          <w:sz w:val="21"/>
        </w:rPr>
        <w:t>A conflict story with no real disagreement or where the other side sounds foolish.</w:t>
      </w:r>
    </w:p>
    <w:p>
      <w:pPr>
        <w:numPr>
          <w:ilvl w:val="0"/>
          <w:numId w:val="10"/>
        </w:numPr>
        <w:spacing w:after="80" w:line="300" w:lineRule="auto"/>
      </w:pPr>
      <w:r>
        <w:rPr>
          <w:rFonts w:ascii="Calibri" w:hAnsi="Calibri"/>
          <w:color w:val="1F2937"/>
          <w:sz w:val="21"/>
        </w:rPr>
        <w:t>Using only "we" so your contribution is impossible to score; or using only "I" and erasing the team.</w:t>
      </w:r>
    </w:p>
    <w:p>
      <w:pPr>
        <w:numPr>
          <w:ilvl w:val="0"/>
          <w:numId w:val="10"/>
        </w:numPr>
        <w:spacing w:after="80" w:line="300" w:lineRule="auto"/>
      </w:pPr>
      <w:r>
        <w:rPr>
          <w:rFonts w:ascii="Calibri" w:hAnsi="Calibri"/>
          <w:color w:val="1F2937"/>
          <w:sz w:val="21"/>
        </w:rPr>
        <w:t>Results with unexplained attribution, especially large revenue/cost/capacity percentages.</w:t>
      </w:r>
    </w:p>
    <w:p>
      <w:pPr>
        <w:numPr>
          <w:ilvl w:val="0"/>
          <w:numId w:val="10"/>
        </w:numPr>
        <w:spacing w:after="80" w:line="300" w:lineRule="auto"/>
      </w:pPr>
      <w:r>
        <w:rPr>
          <w:rFonts w:ascii="Calibri" w:hAnsi="Calibri"/>
          <w:color w:val="1F2937"/>
          <w:sz w:val="21"/>
        </w:rPr>
        <w:t>A failure story where the lesson is "communicate more" but nothing concrete changed.</w:t>
      </w:r>
    </w:p>
    <w:p>
      <w:pPr>
        <w:numPr>
          <w:ilvl w:val="0"/>
          <w:numId w:val="10"/>
        </w:numPr>
        <w:spacing w:after="80" w:line="300" w:lineRule="auto"/>
      </w:pPr>
      <w:r>
        <w:rPr>
          <w:rFonts w:ascii="Calibri" w:hAnsi="Calibri"/>
          <w:color w:val="1F2937"/>
          <w:sz w:val="21"/>
        </w:rPr>
        <w:t>Presenting speed versus quality, Product versus Engineering, or Compliance versus innovation as a false binary.</w:t>
      </w:r>
    </w:p>
    <w:p>
      <w:pPr>
        <w:numPr>
          <w:ilvl w:val="0"/>
          <w:numId w:val="10"/>
        </w:numPr>
        <w:spacing w:after="80" w:line="300" w:lineRule="auto"/>
      </w:pPr>
      <w:r>
        <w:rPr>
          <w:rFonts w:ascii="Calibri" w:hAnsi="Calibri"/>
          <w:color w:val="1F2937"/>
          <w:sz w:val="21"/>
        </w:rPr>
        <w:t>Turning every answer into an AI project. Show platform, reliability, migration, and collaboration range.</w:t>
      </w:r>
    </w:p>
    <w:p>
      <w:pPr>
        <w:pStyle w:val="Heading1"/>
      </w:pPr>
      <w:r>
        <w:t>7. Ripple knowledge and motivation</w:t>
      </w:r>
    </w:p>
    <w:p>
      <w:pPr>
        <w:pStyle w:val="Heading2"/>
      </w:pPr>
      <w:r>
        <w:t>Company thesis in one paragraph</w:t>
      </w:r>
    </w:p>
    <w:p>
      <w:pPr>
        <w:spacing w:after="120" w:line="300" w:lineRule="auto"/>
      </w:pPr>
      <w:r>
        <w:rPr>
          <w:rFonts w:ascii="Calibri" w:hAnsi="Calibri"/>
          <w:i w:val="0"/>
          <w:color w:val="1F2937"/>
          <w:sz w:val="22"/>
        </w:rPr>
        <w:t>Ripple is building institutional financial infrastructure across Payments, Custody, RLUSD, Prime Brokerage, Treasury, and tokenization. The strategic Identity &amp; Trust problem is making that expanding portfolio operate as one coherent platform: reusable onboarding and compliance context, stable customer/entity/user identifiers, and consistent entitlements across products and acquisitions.</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700"/>
        <w:gridCol w:w="3300"/>
        <w:gridCol w:w="4360"/>
      </w:tblGrid>
      <w:tr>
        <w:trPr>
          <w:tblHeader w:val="true"/>
          <w:cantSplit w:val="true"/>
        </w:trPr>
        <w:tc>
          <w:tcPr>
            <w:tcW w:type="dxa" w:w="17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Surface</w:t>
            </w:r>
          </w:p>
        </w:tc>
        <w:tc>
          <w:tcPr>
            <w:tcW w:type="dxa" w:w="33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What it does</w:t>
            </w:r>
          </w:p>
        </w:tc>
        <w:tc>
          <w:tcPr>
            <w:tcW w:type="dxa" w:w="436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Identity &amp; Trust implication</w:t>
            </w:r>
          </w:p>
        </w:tc>
      </w:tr>
      <w:tr>
        <w:trPr>
          <w:cantSplit w:val="true"/>
        </w:trPr>
        <w:tc>
          <w:tcPr>
            <w:tcW w:type="dxa" w:w="1700"/>
          </w:tcPr>
          <w:p>
            <w:pPr>
              <w:spacing w:after="0" w:line="259" w:lineRule="auto"/>
              <w:jc w:val="left"/>
            </w:pPr>
            <w:r>
              <w:rPr>
                <w:rFonts w:ascii="Calibri" w:hAnsi="Calibri"/>
                <w:b/>
                <w:color w:val="1F2937"/>
                <w:sz w:val="17"/>
              </w:rPr>
              <w:t>Ripple Payments</w:t>
            </w:r>
          </w:p>
        </w:tc>
        <w:tc>
          <w:tcPr>
            <w:tcW w:type="dxa" w:w="3300"/>
          </w:tcPr>
          <w:p>
            <w:pPr>
              <w:spacing w:after="0" w:line="259" w:lineRule="auto"/>
              <w:jc w:val="left"/>
            </w:pPr>
            <w:r>
              <w:rPr>
                <w:rFonts w:ascii="Calibri" w:hAnsi="Calibri"/>
                <w:b w:val="0"/>
                <w:color w:val="1F2937"/>
                <w:sz w:val="17"/>
              </w:rPr>
              <w:t>Collect, hold, exchange, and pay out fiat or stablecoins across markets.</w:t>
            </w:r>
          </w:p>
        </w:tc>
        <w:tc>
          <w:tcPr>
            <w:tcW w:type="dxa" w:w="4360"/>
          </w:tcPr>
          <w:p>
            <w:pPr>
              <w:spacing w:after="0" w:line="259" w:lineRule="auto"/>
              <w:jc w:val="left"/>
            </w:pPr>
            <w:r>
              <w:rPr>
                <w:rFonts w:ascii="Calibri" w:hAnsi="Calibri"/>
                <w:b w:val="0"/>
                <w:color w:val="1F2937"/>
                <w:sz w:val="17"/>
              </w:rPr>
              <w:t>Legal-entity onboarding, beneficiaries, corridor eligibility, reusable KYB, sanctions/AML status, and product access.</w:t>
            </w:r>
          </w:p>
        </w:tc>
      </w:tr>
      <w:tr>
        <w:trPr>
          <w:cantSplit w:val="true"/>
        </w:trPr>
        <w:tc>
          <w:tcPr>
            <w:tcW w:type="dxa" w:w="1700"/>
          </w:tcPr>
          <w:p>
            <w:pPr>
              <w:spacing w:after="0" w:line="259" w:lineRule="auto"/>
              <w:jc w:val="left"/>
            </w:pPr>
            <w:r>
              <w:rPr>
                <w:rFonts w:ascii="Calibri" w:hAnsi="Calibri"/>
                <w:b/>
                <w:color w:val="1F2937"/>
                <w:sz w:val="17"/>
              </w:rPr>
              <w:t>Ripple Custody</w:t>
            </w:r>
          </w:p>
        </w:tc>
        <w:tc>
          <w:tcPr>
            <w:tcW w:type="dxa" w:w="3300"/>
          </w:tcPr>
          <w:p>
            <w:pPr>
              <w:spacing w:after="0" w:line="259" w:lineRule="auto"/>
              <w:jc w:val="left"/>
            </w:pPr>
            <w:r>
              <w:rPr>
                <w:rFonts w:ascii="Calibri" w:hAnsi="Calibri"/>
                <w:b w:val="0"/>
                <w:color w:val="1F2937"/>
                <w:sz w:val="17"/>
              </w:rPr>
              <w:t>Institutional digital-asset custody/orchestration with policy controls and multiple deployment models.</w:t>
            </w:r>
          </w:p>
        </w:tc>
        <w:tc>
          <w:tcPr>
            <w:tcW w:type="dxa" w:w="4360"/>
          </w:tcPr>
          <w:p>
            <w:pPr>
              <w:spacing w:after="0" w:line="259" w:lineRule="auto"/>
              <w:jc w:val="left"/>
            </w:pPr>
            <w:r>
              <w:rPr>
                <w:rFonts w:ascii="Calibri" w:hAnsi="Calibri"/>
                <w:b w:val="0"/>
                <w:color w:val="1F2937"/>
                <w:sz w:val="17"/>
              </w:rPr>
              <w:t>Tenant isolation, operator roles, separation of duties, approvals, high-assurance authorization, and audit.</w:t>
            </w:r>
          </w:p>
        </w:tc>
      </w:tr>
      <w:tr>
        <w:trPr>
          <w:cantSplit w:val="true"/>
        </w:trPr>
        <w:tc>
          <w:tcPr>
            <w:tcW w:type="dxa" w:w="1700"/>
          </w:tcPr>
          <w:p>
            <w:pPr>
              <w:spacing w:after="0" w:line="259" w:lineRule="auto"/>
              <w:jc w:val="left"/>
            </w:pPr>
            <w:r>
              <w:rPr>
                <w:rFonts w:ascii="Calibri" w:hAnsi="Calibri"/>
                <w:b/>
                <w:color w:val="1F2937"/>
                <w:sz w:val="17"/>
              </w:rPr>
              <w:t>RLUSD / Ripple Mint</w:t>
            </w:r>
          </w:p>
        </w:tc>
        <w:tc>
          <w:tcPr>
            <w:tcW w:type="dxa" w:w="3300"/>
          </w:tcPr>
          <w:p>
            <w:pPr>
              <w:spacing w:after="0" w:line="259" w:lineRule="auto"/>
              <w:jc w:val="left"/>
            </w:pPr>
            <w:r>
              <w:rPr>
                <w:rFonts w:ascii="Calibri" w:hAnsi="Calibri"/>
                <w:b w:val="0"/>
                <w:color w:val="1F2937"/>
                <w:sz w:val="17"/>
              </w:rPr>
              <w:t>Ripple-issued USD-backed stablecoin on XRPL and Ethereum; institutional mint/redeem/liquidity use cases.</w:t>
            </w:r>
          </w:p>
        </w:tc>
        <w:tc>
          <w:tcPr>
            <w:tcW w:type="dxa" w:w="4360"/>
          </w:tcPr>
          <w:p>
            <w:pPr>
              <w:spacing w:after="0" w:line="259" w:lineRule="auto"/>
              <w:jc w:val="left"/>
            </w:pPr>
            <w:r>
              <w:rPr>
                <w:rFonts w:ascii="Calibri" w:hAnsi="Calibri"/>
                <w:b w:val="0"/>
                <w:color w:val="1F2937"/>
                <w:sz w:val="17"/>
              </w:rPr>
              <w:t>Jurisdictional eligibility, verified entities, authorized operators, mint/redeem permissions, revocation.</w:t>
            </w:r>
          </w:p>
        </w:tc>
      </w:tr>
      <w:tr>
        <w:trPr>
          <w:cantSplit w:val="true"/>
        </w:trPr>
        <w:tc>
          <w:tcPr>
            <w:tcW w:type="dxa" w:w="1700"/>
          </w:tcPr>
          <w:p>
            <w:pPr>
              <w:spacing w:after="0" w:line="259" w:lineRule="auto"/>
              <w:jc w:val="left"/>
            </w:pPr>
            <w:r>
              <w:rPr>
                <w:rFonts w:ascii="Calibri" w:hAnsi="Calibri"/>
                <w:b/>
                <w:color w:val="1F2937"/>
                <w:sz w:val="17"/>
              </w:rPr>
              <w:t>Ripple Prime</w:t>
            </w:r>
          </w:p>
        </w:tc>
        <w:tc>
          <w:tcPr>
            <w:tcW w:type="dxa" w:w="3300"/>
          </w:tcPr>
          <w:p>
            <w:pPr>
              <w:spacing w:after="0" w:line="259" w:lineRule="auto"/>
              <w:jc w:val="left"/>
            </w:pPr>
            <w:r>
              <w:rPr>
                <w:rFonts w:ascii="Calibri" w:hAnsi="Calibri"/>
                <w:b w:val="0"/>
                <w:color w:val="1F2937"/>
                <w:sz w:val="17"/>
              </w:rPr>
              <w:t>Multi-asset institutional prime brokerage built from Hidden Road.</w:t>
            </w:r>
          </w:p>
        </w:tc>
        <w:tc>
          <w:tcPr>
            <w:tcW w:type="dxa" w:w="4360"/>
          </w:tcPr>
          <w:p>
            <w:pPr>
              <w:spacing w:after="0" w:line="259" w:lineRule="auto"/>
              <w:jc w:val="left"/>
            </w:pPr>
            <w:r>
              <w:rPr>
                <w:rFonts w:ascii="Calibri" w:hAnsi="Calibri"/>
                <w:b w:val="0"/>
                <w:color w:val="1F2937"/>
                <w:sz w:val="17"/>
              </w:rPr>
              <w:t>Counterparty/entity hierarchies, contractual entitlements, trading access, product-specific risk and regulatory eligibility.</w:t>
            </w:r>
          </w:p>
        </w:tc>
      </w:tr>
      <w:tr>
        <w:trPr>
          <w:cantSplit w:val="true"/>
        </w:trPr>
        <w:tc>
          <w:tcPr>
            <w:tcW w:type="dxa" w:w="1700"/>
          </w:tcPr>
          <w:p>
            <w:pPr>
              <w:spacing w:after="0" w:line="259" w:lineRule="auto"/>
              <w:jc w:val="left"/>
            </w:pPr>
            <w:r>
              <w:rPr>
                <w:rFonts w:ascii="Calibri" w:hAnsi="Calibri"/>
                <w:b/>
                <w:color w:val="1F2937"/>
                <w:sz w:val="17"/>
              </w:rPr>
              <w:t>Ripple Treasury</w:t>
            </w:r>
          </w:p>
        </w:tc>
        <w:tc>
          <w:tcPr>
            <w:tcW w:type="dxa" w:w="3300"/>
          </w:tcPr>
          <w:p>
            <w:pPr>
              <w:spacing w:after="0" w:line="259" w:lineRule="auto"/>
              <w:jc w:val="left"/>
            </w:pPr>
            <w:r>
              <w:rPr>
                <w:rFonts w:ascii="Calibri" w:hAnsi="Calibri"/>
                <w:b w:val="0"/>
                <w:color w:val="1F2937"/>
                <w:sz w:val="17"/>
              </w:rPr>
              <w:t>Corporate cash, forecasting, payments, risk, and digital-asset treasury capabilities.</w:t>
            </w:r>
          </w:p>
        </w:tc>
        <w:tc>
          <w:tcPr>
            <w:tcW w:type="dxa" w:w="4360"/>
          </w:tcPr>
          <w:p>
            <w:pPr>
              <w:spacing w:after="0" w:line="259" w:lineRule="auto"/>
              <w:jc w:val="left"/>
            </w:pPr>
            <w:r>
              <w:rPr>
                <w:rFonts w:ascii="Calibri" w:hAnsi="Calibri"/>
                <w:b w:val="0"/>
                <w:color w:val="1F2937"/>
                <w:sz w:val="17"/>
              </w:rPr>
              <w:t>Corporate hierarchies, accounts, user roles, acquired identity models, and cross-product linking.</w:t>
            </w:r>
          </w:p>
        </w:tc>
      </w:tr>
    </w:tbl>
    <w:p>
      <w:pPr>
        <w:spacing w:before="80" w:after="80"/>
      </w:pPr>
      <w:r>
        <w:rPr>
          <w:rFonts w:ascii="Calibri" w:hAnsi="Calibri"/>
          <w:i/>
          <w:color w:val="5F6B7A"/>
          <w:sz w:val="17"/>
        </w:rPr>
        <w:t>Product framing is based on Ripple's official product pages current to July 20, 2026. See Section 9.</w:t>
      </w:r>
    </w:p>
    <w:p>
      <w:pPr>
        <w:pStyle w:val="Heading2"/>
      </w:pPr>
      <w:r>
        <w:t>Do not confuse these terms</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600"/>
        <w:gridCol w:w="7760"/>
      </w:tblGrid>
      <w:tr>
        <w:trPr>
          <w:tblHeader w:val="true"/>
          <w:cantSplit w:val="true"/>
        </w:trPr>
        <w:tc>
          <w:tcPr>
            <w:tcW w:type="dxa" w:w="16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Term</w:t>
            </w:r>
          </w:p>
        </w:tc>
        <w:tc>
          <w:tcPr>
            <w:tcW w:type="dxa" w:w="776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Accurate description</w:t>
            </w:r>
          </w:p>
        </w:tc>
      </w:tr>
      <w:tr>
        <w:trPr>
          <w:cantSplit w:val="true"/>
        </w:trPr>
        <w:tc>
          <w:tcPr>
            <w:tcW w:type="dxa" w:w="1600"/>
          </w:tcPr>
          <w:p>
            <w:pPr>
              <w:spacing w:after="0" w:line="259" w:lineRule="auto"/>
              <w:jc w:val="left"/>
            </w:pPr>
            <w:r>
              <w:rPr>
                <w:rFonts w:ascii="Calibri" w:hAnsi="Calibri"/>
                <w:b/>
                <w:color w:val="1F2937"/>
                <w:sz w:val="18"/>
              </w:rPr>
              <w:t>Ripple</w:t>
            </w:r>
          </w:p>
        </w:tc>
        <w:tc>
          <w:tcPr>
            <w:tcW w:type="dxa" w:w="7760"/>
          </w:tcPr>
          <w:p>
            <w:pPr>
              <w:spacing w:after="0" w:line="259" w:lineRule="auto"/>
              <w:jc w:val="left"/>
            </w:pPr>
            <w:r>
              <w:rPr>
                <w:rFonts w:ascii="Calibri" w:hAnsi="Calibri"/>
                <w:b w:val="0"/>
                <w:color w:val="1F2937"/>
                <w:sz w:val="18"/>
              </w:rPr>
              <w:t>A private technology company building enterprise digital-asset and financial infrastructure.</w:t>
            </w:r>
          </w:p>
        </w:tc>
      </w:tr>
      <w:tr>
        <w:trPr>
          <w:cantSplit w:val="true"/>
        </w:trPr>
        <w:tc>
          <w:tcPr>
            <w:tcW w:type="dxa" w:w="1600"/>
          </w:tcPr>
          <w:p>
            <w:pPr>
              <w:spacing w:after="0" w:line="259" w:lineRule="auto"/>
              <w:jc w:val="left"/>
            </w:pPr>
            <w:r>
              <w:rPr>
                <w:rFonts w:ascii="Calibri" w:hAnsi="Calibri"/>
                <w:b/>
                <w:color w:val="1F2937"/>
                <w:sz w:val="18"/>
              </w:rPr>
              <w:t>XRPL</w:t>
            </w:r>
          </w:p>
        </w:tc>
        <w:tc>
          <w:tcPr>
            <w:tcW w:type="dxa" w:w="7760"/>
          </w:tcPr>
          <w:p>
            <w:pPr>
              <w:spacing w:after="0" w:line="259" w:lineRule="auto"/>
              <w:jc w:val="left"/>
            </w:pPr>
            <w:r>
              <w:rPr>
                <w:rFonts w:ascii="Calibri" w:hAnsi="Calibri"/>
                <w:b w:val="0"/>
                <w:color w:val="1F2937"/>
                <w:sz w:val="18"/>
              </w:rPr>
              <w:t>An open-source public blockchain. Ripple contributes code but does not own or unilaterally control the network.</w:t>
            </w:r>
          </w:p>
        </w:tc>
      </w:tr>
      <w:tr>
        <w:trPr>
          <w:cantSplit w:val="true"/>
        </w:trPr>
        <w:tc>
          <w:tcPr>
            <w:tcW w:type="dxa" w:w="1600"/>
          </w:tcPr>
          <w:p>
            <w:pPr>
              <w:spacing w:after="0" w:line="259" w:lineRule="auto"/>
              <w:jc w:val="left"/>
            </w:pPr>
            <w:r>
              <w:rPr>
                <w:rFonts w:ascii="Calibri" w:hAnsi="Calibri"/>
                <w:b/>
                <w:color w:val="1F2937"/>
                <w:sz w:val="18"/>
              </w:rPr>
              <w:t>XRP</w:t>
            </w:r>
          </w:p>
        </w:tc>
        <w:tc>
          <w:tcPr>
            <w:tcW w:type="dxa" w:w="7760"/>
          </w:tcPr>
          <w:p>
            <w:pPr>
              <w:spacing w:after="0" w:line="259" w:lineRule="auto"/>
              <w:jc w:val="left"/>
            </w:pPr>
            <w:r>
              <w:rPr>
                <w:rFonts w:ascii="Calibri" w:hAnsi="Calibri"/>
                <w:b w:val="0"/>
                <w:color w:val="1F2937"/>
                <w:sz w:val="18"/>
              </w:rPr>
              <w:t>XRPL's native digital asset, used for transaction costs/reserves and able to bridge currencies.</w:t>
            </w:r>
          </w:p>
        </w:tc>
      </w:tr>
      <w:tr>
        <w:trPr>
          <w:cantSplit w:val="true"/>
        </w:trPr>
        <w:tc>
          <w:tcPr>
            <w:tcW w:type="dxa" w:w="1600"/>
          </w:tcPr>
          <w:p>
            <w:pPr>
              <w:spacing w:after="0" w:line="259" w:lineRule="auto"/>
              <w:jc w:val="left"/>
            </w:pPr>
            <w:r>
              <w:rPr>
                <w:rFonts w:ascii="Calibri" w:hAnsi="Calibri"/>
                <w:b/>
                <w:color w:val="1F2937"/>
                <w:sz w:val="18"/>
              </w:rPr>
              <w:t>RLUSD</w:t>
            </w:r>
          </w:p>
        </w:tc>
        <w:tc>
          <w:tcPr>
            <w:tcW w:type="dxa" w:w="7760"/>
          </w:tcPr>
          <w:p>
            <w:pPr>
              <w:spacing w:after="0" w:line="259" w:lineRule="auto"/>
              <w:jc w:val="left"/>
            </w:pPr>
            <w:r>
              <w:rPr>
                <w:rFonts w:ascii="Calibri" w:hAnsi="Calibri"/>
                <w:b w:val="0"/>
                <w:color w:val="1F2937"/>
                <w:sz w:val="18"/>
              </w:rPr>
              <w:t>A distinct Ripple-issued USD-backed stablecoin intended to remain redeemable 1:1; it is not XRP.</w:t>
            </w:r>
          </w:p>
        </w:tc>
      </w:tr>
      <w:tr>
        <w:trPr>
          <w:cantSplit w:val="true"/>
        </w:trPr>
        <w:tc>
          <w:tcPr>
            <w:tcW w:type="dxa" w:w="1600"/>
          </w:tcPr>
          <w:p>
            <w:pPr>
              <w:spacing w:after="0" w:line="259" w:lineRule="auto"/>
              <w:jc w:val="left"/>
            </w:pPr>
            <w:r>
              <w:rPr>
                <w:rFonts w:ascii="Calibri" w:hAnsi="Calibri"/>
                <w:b/>
                <w:color w:val="1F2937"/>
                <w:sz w:val="18"/>
              </w:rPr>
              <w:t>Ripple Payments</w:t>
            </w:r>
          </w:p>
        </w:tc>
        <w:tc>
          <w:tcPr>
            <w:tcW w:type="dxa" w:w="7760"/>
          </w:tcPr>
          <w:p>
            <w:pPr>
              <w:spacing w:after="0" w:line="259" w:lineRule="auto"/>
              <w:jc w:val="left"/>
            </w:pPr>
            <w:r>
              <w:rPr>
                <w:rFonts w:ascii="Calibri" w:hAnsi="Calibri"/>
                <w:b w:val="0"/>
                <w:color w:val="1F2937"/>
                <w:sz w:val="18"/>
              </w:rPr>
              <w:t>A licensed enterprise product that can use fiat and multiple stablecoins; do not imply every payment uses XRP or XRPL.</w:t>
            </w:r>
          </w:p>
        </w:tc>
      </w:tr>
    </w:tbl>
    <w:p>
      <w:pPr>
        <w:spacing w:before="0" w:after="40"/>
      </w:pPr>
    </w:p>
    <w:p>
      <w:pPr>
        <w:pStyle w:val="Heading2"/>
      </w:pPr>
      <w:r>
        <w:t>Why Ripple / why this role</w:t>
      </w:r>
    </w:p>
    <w:p>
      <w:pPr>
        <w:spacing w:before="100" w:after="160" w:line="288" w:lineRule="auto"/>
        <w:ind w:left="432" w:right="360"/>
        <w:shd w:fill="F4F6F9" w:val="clear"/>
        <w:pBdr>
          <w:left w:val="single" w:sz="18" w:space="8" w:color="2E74B5"/>
        </w:pBdr>
      </w:pPr>
      <w:r>
        <w:rPr>
          <w:rFonts w:ascii="Calibri" w:hAnsi="Calibri"/>
          <w:b/>
          <w:color w:val="2E74B5"/>
          <w:sz w:val="19"/>
        </w:rPr>
        <w:t>75-second answer - personalize the wording</w:t>
        <w:br/>
      </w:r>
      <w:r>
        <w:rPr>
          <w:rFonts w:ascii="Calibri" w:hAnsi="Calibri"/>
          <w:i/>
          <w:color w:val="0B2545"/>
          <w:sz w:val="21"/>
        </w:rPr>
        <w:t>Ripple interests me because it sits at the intersection of distributed systems, regulated financial infrastructure, and real institutional adoption. As the company expands across payments, custody, stablecoins, prime brokerage, and treasury, the challenge is making those products work as one coherent platform. That is why Identity &amp; Trust is especially compelling: a durable model for customers, entities, users, verification context, and entitlements can reduce duplicate onboarding and let product teams integrate faster without compromising reliability or auditability. At Intuit, I have worked on adjacent platform problems - unified profiles from multiple sources, cross-regional platform consolidation with gRPC and OpenSearch, Kafka-based workflows, AWS systems, and critical onboarding and pricing experiences. I can contribute that backend and migration experience immediately while growing deeper in fintech identity and compliance.</w:t>
      </w:r>
    </w:p>
    <w:p>
      <w:pPr>
        <w:pStyle w:val="Heading2"/>
      </w:pPr>
      <w:r>
        <w:t>Current context worth knowing - not reciting</w:t>
      </w:r>
    </w:p>
    <w:p>
      <w:pPr>
        <w:numPr>
          <w:ilvl w:val="0"/>
          <w:numId w:val="10"/>
        </w:numPr>
        <w:spacing w:after="80" w:line="300" w:lineRule="auto"/>
      </w:pPr>
      <w:r>
        <w:rPr>
          <w:rFonts w:ascii="Calibri" w:hAnsi="Calibri"/>
          <w:color w:val="1F2937"/>
          <w:sz w:val="21"/>
        </w:rPr>
        <w:t>Ripple's recent strategy links Payments, Custody, RLUSD, Prime, and Treasury into a one-stop institutional platform. Identity reuse and entitlement boundaries become more important as products and acquired systems converge.</w:t>
      </w:r>
    </w:p>
    <w:p>
      <w:pPr>
        <w:numPr>
          <w:ilvl w:val="0"/>
          <w:numId w:val="10"/>
        </w:numPr>
        <w:spacing w:after="80" w:line="300" w:lineRule="auto"/>
      </w:pPr>
      <w:r>
        <w:rPr>
          <w:rFonts w:ascii="Calibri" w:hAnsi="Calibri"/>
          <w:color w:val="1F2937"/>
          <w:sz w:val="21"/>
        </w:rPr>
        <w:t>In July 2026 Ripple announced a full EU MiCA CASP license. The engineering implication is jurisdiction-aware eligibility, reusable evidence, and traceable policy decisions.</w:t>
      </w:r>
    </w:p>
    <w:p>
      <w:pPr>
        <w:numPr>
          <w:ilvl w:val="0"/>
          <w:numId w:val="10"/>
        </w:numPr>
        <w:spacing w:after="80" w:line="300" w:lineRule="auto"/>
      </w:pPr>
      <w:r>
        <w:rPr>
          <w:rFonts w:ascii="Calibri" w:hAnsi="Calibri"/>
          <w:color w:val="1F2937"/>
          <w:sz w:val="21"/>
        </w:rPr>
        <w:t>The 2025 SEC/Ripple appeals were dismissed, but the district court's penalty and injunction remained. Avoid saying the entire judgment disappeared.</w:t>
      </w:r>
    </w:p>
    <w:p>
      <w:pPr>
        <w:numPr>
          <w:ilvl w:val="0"/>
          <w:numId w:val="10"/>
        </w:numPr>
        <w:spacing w:after="80" w:line="300" w:lineRule="auto"/>
      </w:pPr>
      <w:r>
        <w:rPr>
          <w:rFonts w:ascii="Calibri" w:hAnsi="Calibri"/>
          <w:color w:val="1F2937"/>
          <w:sz w:val="21"/>
        </w:rPr>
        <w:t>Ripple's engineering page explicitly encourages strong engineers without prior blockchain/crypto experience. Demonstrate distributed-systems judgment; do not turn preparation into crypto trivia.</w:t>
      </w:r>
    </w:p>
    <w:p>
      <w:pPr>
        <w:pStyle w:val="Heading2"/>
      </w:pPr>
      <w:r>
        <w:t>Reverse-interview questions - ask one or two per person</w:t>
      </w:r>
    </w:p>
    <w:p>
      <w:pPr>
        <w:numPr>
          <w:ilvl w:val="0"/>
          <w:numId w:val="10"/>
        </w:numPr>
        <w:spacing w:after="80" w:line="300" w:lineRule="auto"/>
      </w:pPr>
      <w:r>
        <w:rPr>
          <w:rFonts w:ascii="Calibri" w:hAnsi="Calibri"/>
          <w:b/>
          <w:color w:val="1F2937"/>
          <w:sz w:val="21"/>
        </w:rPr>
        <w:t xml:space="preserve">Bruno - architecture: </w:t>
      </w:r>
      <w:r>
        <w:rPr>
          <w:rFonts w:ascii="Calibri" w:hAnsi="Calibri"/>
          <w:color w:val="1F2937"/>
          <w:sz w:val="21"/>
        </w:rPr>
        <w:t>Where have legacy or acquired systems disagreed most on the boundaries among customer, legal entity, user, account, and product relationship? How is the team defining canonical ownership without creating a god service?</w:t>
      </w:r>
    </w:p>
    <w:p>
      <w:pPr>
        <w:numPr>
          <w:ilvl w:val="0"/>
          <w:numId w:val="10"/>
        </w:numPr>
        <w:spacing w:after="80" w:line="300" w:lineRule="auto"/>
      </w:pPr>
      <w:r>
        <w:rPr>
          <w:rFonts w:ascii="Calibri" w:hAnsi="Calibri"/>
          <w:b/>
          <w:color w:val="1F2937"/>
          <w:sz w:val="21"/>
        </w:rPr>
        <w:t xml:space="preserve">Bruno - consistency: </w:t>
      </w:r>
      <w:r>
        <w:rPr>
          <w:rFonts w:ascii="Calibri" w:hAnsi="Calibri"/>
          <w:color w:val="1F2937"/>
          <w:sz w:val="21"/>
        </w:rPr>
        <w:t>For a KYB revocation or product-access block, what consistency and propagation guarantees do consuming products need? Where is eventual consistency acceptable?</w:t>
      </w:r>
    </w:p>
    <w:p>
      <w:pPr>
        <w:numPr>
          <w:ilvl w:val="0"/>
          <w:numId w:val="10"/>
        </w:numPr>
        <w:spacing w:after="80" w:line="300" w:lineRule="auto"/>
      </w:pPr>
      <w:r>
        <w:rPr>
          <w:rFonts w:ascii="Calibri" w:hAnsi="Calibri"/>
          <w:b/>
          <w:color w:val="1F2937"/>
          <w:sz w:val="21"/>
        </w:rPr>
        <w:t xml:space="preserve">Bruno - migration: </w:t>
      </w:r>
      <w:r>
        <w:rPr>
          <w:rFonts w:ascii="Calibri" w:hAnsi="Calibri"/>
          <w:color w:val="1F2937"/>
          <w:sz w:val="21"/>
        </w:rPr>
        <w:t>How are migrations staged today - façade, event replication, shadow reads, or per-product cutovers - and which failure mode worries the team most?</w:t>
      </w:r>
    </w:p>
    <w:p>
      <w:pPr>
        <w:numPr>
          <w:ilvl w:val="0"/>
          <w:numId w:val="10"/>
        </w:numPr>
        <w:spacing w:after="80" w:line="300" w:lineRule="auto"/>
      </w:pPr>
      <w:r>
        <w:rPr>
          <w:rFonts w:ascii="Calibri" w:hAnsi="Calibri"/>
          <w:b/>
          <w:color w:val="1F2937"/>
          <w:sz w:val="21"/>
        </w:rPr>
        <w:t xml:space="preserve">Bruno - boundary: </w:t>
      </w:r>
      <w:r>
        <w:rPr>
          <w:rFonts w:ascii="Calibri" w:hAnsi="Calibri"/>
          <w:color w:val="1F2937"/>
          <w:sz w:val="21"/>
        </w:rPr>
        <w:t>Does the shared entitlements layer represent commercial access, runtime authorization, compliance eligibility, or a composition? Where is the boundary with AuthN/AuthZ?</w:t>
      </w:r>
    </w:p>
    <w:p>
      <w:pPr>
        <w:numPr>
          <w:ilvl w:val="0"/>
          <w:numId w:val="10"/>
        </w:numPr>
        <w:spacing w:after="80" w:line="300" w:lineRule="auto"/>
      </w:pPr>
      <w:r>
        <w:rPr>
          <w:rFonts w:ascii="Calibri" w:hAnsi="Calibri"/>
          <w:b/>
          <w:color w:val="1F2937"/>
          <w:sz w:val="21"/>
        </w:rPr>
        <w:t xml:space="preserve">Ravshan - engineering: </w:t>
      </w:r>
      <w:r>
        <w:rPr>
          <w:rFonts w:ascii="Calibri" w:hAnsi="Calibri"/>
          <w:color w:val="1F2937"/>
          <w:sz w:val="21"/>
        </w:rPr>
        <w:t>Which failure modes create the hardest bugs here: duplicate identities, unordered vendor callbacks, stale verification state, replay, or entitlement propagation?</w:t>
      </w:r>
    </w:p>
    <w:p>
      <w:pPr>
        <w:numPr>
          <w:ilvl w:val="0"/>
          <w:numId w:val="10"/>
        </w:numPr>
        <w:spacing w:after="80" w:line="300" w:lineRule="auto"/>
      </w:pPr>
      <w:r>
        <w:rPr>
          <w:rFonts w:ascii="Calibri" w:hAnsi="Calibri"/>
          <w:b/>
          <w:color w:val="1F2937"/>
          <w:sz w:val="21"/>
        </w:rPr>
        <w:t xml:space="preserve">Ravshan - quality: </w:t>
      </w:r>
      <w:r>
        <w:rPr>
          <w:rFonts w:ascii="Calibri" w:hAnsi="Calibri"/>
          <w:color w:val="1F2937"/>
          <w:sz w:val="21"/>
        </w:rPr>
        <w:t>How does the team test asynchronous lifecycle workflows and migration correctness beyond ordinary unit tests?</w:t>
      </w:r>
    </w:p>
    <w:p>
      <w:pPr>
        <w:numPr>
          <w:ilvl w:val="0"/>
          <w:numId w:val="10"/>
        </w:numPr>
        <w:spacing w:after="80" w:line="300" w:lineRule="auto"/>
      </w:pPr>
      <w:r>
        <w:rPr>
          <w:rFonts w:ascii="Calibri" w:hAnsi="Calibri"/>
          <w:b/>
          <w:color w:val="1F2937"/>
          <w:sz w:val="21"/>
        </w:rPr>
        <w:t xml:space="preserve">Ravshan - senior bar: </w:t>
      </w:r>
      <w:r>
        <w:rPr>
          <w:rFonts w:ascii="Calibri" w:hAnsi="Calibri"/>
          <w:color w:val="1F2937"/>
          <w:sz w:val="21"/>
        </w:rPr>
        <w:t>What makes a senior-level contribution excellent here beyond correctness - API clarity, operability, failure handling, or something else?</w:t>
      </w:r>
    </w:p>
    <w:p>
      <w:pPr>
        <w:numPr>
          <w:ilvl w:val="0"/>
          <w:numId w:val="10"/>
        </w:numPr>
        <w:spacing w:after="80" w:line="300" w:lineRule="auto"/>
      </w:pPr>
      <w:r>
        <w:rPr>
          <w:rFonts w:ascii="Calibri" w:hAnsi="Calibri"/>
          <w:b/>
          <w:color w:val="1F2937"/>
          <w:sz w:val="21"/>
        </w:rPr>
        <w:t xml:space="preserve">Guruprasad - Say It: </w:t>
      </w:r>
      <w:r>
        <w:rPr>
          <w:rFonts w:ascii="Calibri" w:hAnsi="Calibri"/>
          <w:color w:val="1F2937"/>
          <w:sz w:val="21"/>
        </w:rPr>
        <w:t>Can you share a recent moment when an engineer raised a difficult concern and it materially changed the design or plan?</w:t>
      </w:r>
    </w:p>
    <w:p>
      <w:pPr>
        <w:numPr>
          <w:ilvl w:val="0"/>
          <w:numId w:val="10"/>
        </w:numPr>
        <w:spacing w:after="80" w:line="300" w:lineRule="auto"/>
      </w:pPr>
      <w:r>
        <w:rPr>
          <w:rFonts w:ascii="Calibri" w:hAnsi="Calibri"/>
          <w:b/>
          <w:color w:val="1F2937"/>
          <w:sz w:val="21"/>
        </w:rPr>
        <w:t xml:space="preserve">Guruprasad - tradeoffs: </w:t>
      </w:r>
      <w:r>
        <w:rPr>
          <w:rFonts w:ascii="Calibri" w:hAnsi="Calibri"/>
          <w:color w:val="1F2937"/>
          <w:sz w:val="21"/>
        </w:rPr>
        <w:t>When an immediate product need conflicts with a durable platform contract, how does the team surface the tradeoff and reach a decision?</w:t>
      </w:r>
    </w:p>
    <w:p>
      <w:pPr>
        <w:numPr>
          <w:ilvl w:val="0"/>
          <w:numId w:val="10"/>
        </w:numPr>
        <w:spacing w:after="80" w:line="300" w:lineRule="auto"/>
      </w:pPr>
      <w:r>
        <w:rPr>
          <w:rFonts w:ascii="Calibri" w:hAnsi="Calibri"/>
          <w:b/>
          <w:color w:val="1F2937"/>
          <w:sz w:val="21"/>
        </w:rPr>
        <w:t xml:space="preserve">Guruprasad - success: </w:t>
      </w:r>
      <w:r>
        <w:rPr>
          <w:rFonts w:ascii="Calibri" w:hAnsi="Calibri"/>
          <w:color w:val="1F2937"/>
          <w:sz w:val="21"/>
        </w:rPr>
        <w:t>What would you most want this hire to make easier for other engineers during the first six months?</w:t>
      </w:r>
    </w:p>
    <w:p>
      <w:pPr>
        <w:pStyle w:val="Heading1"/>
      </w:pPr>
      <w:r>
        <w:t>8. Public interview reports: evidence map</w:t>
      </w:r>
    </w:p>
    <w:p>
      <w:pPr>
        <w:spacing w:after="120" w:line="300" w:lineRule="auto"/>
      </w:pPr>
      <w:r>
        <w:rPr>
          <w:rFonts w:ascii="Calibri" w:hAnsi="Calibri"/>
          <w:i w:val="0"/>
          <w:color w:val="1F2937"/>
          <w:sz w:val="22"/>
        </w:rPr>
        <w:t>Treat this section as secondary evidence. Anonymous reports vary by team, level, location, and year. The official July 2026 schedule and Identity packet should control your preparation.</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600"/>
        <w:gridCol w:w="1250"/>
        <w:gridCol w:w="3780"/>
        <w:gridCol w:w="1300"/>
        <w:gridCol w:w="1430"/>
      </w:tblGrid>
      <w:tr>
        <w:trPr>
          <w:tblHeader w:val="true"/>
          <w:cantSplit w:val="true"/>
        </w:trPr>
        <w:tc>
          <w:tcPr>
            <w:tcW w:type="dxa" w:w="16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6"/>
              </w:rPr>
              <w:t>Report</w:t>
            </w:r>
          </w:p>
        </w:tc>
        <w:tc>
          <w:tcPr>
            <w:tcW w:type="dxa" w:w="125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6"/>
              </w:rPr>
              <w:t>Role / date</w:t>
            </w:r>
          </w:p>
        </w:tc>
        <w:tc>
          <w:tcPr>
            <w:tcW w:type="dxa" w:w="378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6"/>
              </w:rPr>
              <w:t>What was reported</w:t>
            </w:r>
          </w:p>
        </w:tc>
        <w:tc>
          <w:tcPr>
            <w:tcW w:type="dxa" w:w="13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6"/>
              </w:rPr>
              <w:t>Maps to</w:t>
            </w:r>
          </w:p>
        </w:tc>
        <w:tc>
          <w:tcPr>
            <w:tcW w:type="dxa" w:w="143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6"/>
              </w:rPr>
              <w:t>Confidence</w:t>
            </w:r>
          </w:p>
        </w:tc>
      </w:tr>
      <w:tr>
        <w:trPr>
          <w:cantSplit w:val="true"/>
        </w:trPr>
        <w:tc>
          <w:tcPr>
            <w:tcW w:type="dxa" w:w="1600"/>
          </w:tcPr>
          <w:p>
            <w:pPr>
              <w:spacing w:after="0" w:line="259" w:lineRule="auto"/>
              <w:jc w:val="left"/>
            </w:pPr>
            <w:r>
              <w:rPr>
                <w:rFonts w:ascii="Calibri" w:hAnsi="Calibri"/>
                <w:b/>
                <w:color w:val="1F2937"/>
                <w:sz w:val="16"/>
              </w:rPr>
              <w:t>Glassdoor SWE</w:t>
            </w:r>
          </w:p>
        </w:tc>
        <w:tc>
          <w:tcPr>
            <w:tcW w:type="dxa" w:w="1250"/>
          </w:tcPr>
          <w:p>
            <w:pPr>
              <w:spacing w:after="0" w:line="259" w:lineRule="auto"/>
              <w:jc w:val="left"/>
            </w:pPr>
            <w:r>
              <w:rPr>
                <w:rFonts w:ascii="Calibri" w:hAnsi="Calibri"/>
                <w:b w:val="0"/>
                <w:color w:val="1F2937"/>
                <w:sz w:val="16"/>
              </w:rPr>
              <w:t>Apr-Jun 2026</w:t>
            </w:r>
          </w:p>
        </w:tc>
        <w:tc>
          <w:tcPr>
            <w:tcW w:type="dxa" w:w="3780"/>
          </w:tcPr>
          <w:p>
            <w:pPr>
              <w:spacing w:after="0" w:line="259" w:lineRule="auto"/>
              <w:jc w:val="left"/>
            </w:pPr>
            <w:r>
              <w:rPr>
                <w:rFonts w:ascii="Calibri" w:hAnsi="Calibri"/>
                <w:b w:val="0"/>
                <w:color w:val="1F2937"/>
                <w:sz w:val="16"/>
              </w:rPr>
              <w:t>Variants included recruiter/HM/technical/team; one candidate reported one technical and two behavioral interviews emphasizing accountability and leadership.</w:t>
            </w:r>
          </w:p>
        </w:tc>
        <w:tc>
          <w:tcPr>
            <w:tcW w:type="dxa" w:w="1300"/>
          </w:tcPr>
          <w:p>
            <w:pPr>
              <w:spacing w:after="0" w:line="259" w:lineRule="auto"/>
              <w:jc w:val="left"/>
            </w:pPr>
            <w:r>
              <w:rPr>
                <w:rFonts w:ascii="Calibri" w:hAnsi="Calibri"/>
                <w:b w:val="0"/>
                <w:color w:val="1F2937"/>
                <w:sz w:val="16"/>
              </w:rPr>
              <w:t>Coding; values</w:t>
            </w:r>
          </w:p>
        </w:tc>
        <w:tc>
          <w:tcPr>
            <w:tcW w:type="dxa" w:w="1430"/>
          </w:tcPr>
          <w:p>
            <w:pPr>
              <w:spacing w:after="0" w:line="259" w:lineRule="auto"/>
              <w:jc w:val="left"/>
            </w:pPr>
            <w:r>
              <w:rPr>
                <w:rFonts w:ascii="Calibri" w:hAnsi="Calibri"/>
                <w:b w:val="0"/>
                <w:color w:val="1F2937"/>
                <w:sz w:val="16"/>
              </w:rPr>
              <w:t>High anecdotal</w:t>
            </w:r>
          </w:p>
        </w:tc>
      </w:tr>
      <w:tr>
        <w:trPr>
          <w:cantSplit w:val="true"/>
        </w:trPr>
        <w:tc>
          <w:tcPr>
            <w:tcW w:type="dxa" w:w="1600"/>
          </w:tcPr>
          <w:p>
            <w:pPr>
              <w:spacing w:after="0" w:line="259" w:lineRule="auto"/>
              <w:jc w:val="left"/>
            </w:pPr>
            <w:r>
              <w:rPr>
                <w:rFonts w:ascii="Calibri" w:hAnsi="Calibri"/>
                <w:b/>
                <w:color w:val="1F2937"/>
                <w:sz w:val="16"/>
              </w:rPr>
              <w:t>Glassdoor SWE</w:t>
            </w:r>
          </w:p>
        </w:tc>
        <w:tc>
          <w:tcPr>
            <w:tcW w:type="dxa" w:w="1250"/>
          </w:tcPr>
          <w:p>
            <w:pPr>
              <w:spacing w:after="0" w:line="259" w:lineRule="auto"/>
              <w:jc w:val="left"/>
            </w:pPr>
            <w:r>
              <w:rPr>
                <w:rFonts w:ascii="Calibri" w:hAnsi="Calibri"/>
                <w:b w:val="0"/>
                <w:color w:val="1F2937"/>
                <w:sz w:val="16"/>
              </w:rPr>
              <w:t>Jul 2022</w:t>
            </w:r>
          </w:p>
        </w:tc>
        <w:tc>
          <w:tcPr>
            <w:tcW w:type="dxa" w:w="3780"/>
          </w:tcPr>
          <w:p>
            <w:pPr>
              <w:spacing w:after="0" w:line="259" w:lineRule="auto"/>
              <w:jc w:val="left"/>
            </w:pPr>
            <w:r>
              <w:rPr>
                <w:rFonts w:ascii="Calibri" w:hAnsi="Calibri"/>
                <w:b w:val="0"/>
                <w:color w:val="1F2937"/>
                <w:sz w:val="16"/>
              </w:rPr>
              <w:t>HR and engineering-manager screens, three 45-minute technical rounds, then a PM conversation; easy/medium LeetCode recommended.</w:t>
            </w:r>
          </w:p>
        </w:tc>
        <w:tc>
          <w:tcPr>
            <w:tcW w:type="dxa" w:w="1300"/>
          </w:tcPr>
          <w:p>
            <w:pPr>
              <w:spacing w:after="0" w:line="259" w:lineRule="auto"/>
              <w:jc w:val="left"/>
            </w:pPr>
            <w:r>
              <w:rPr>
                <w:rFonts w:ascii="Calibri" w:hAnsi="Calibri"/>
                <w:b w:val="0"/>
                <w:color w:val="1F2937"/>
                <w:sz w:val="16"/>
              </w:rPr>
              <w:t>All buckets</w:t>
            </w:r>
          </w:p>
        </w:tc>
        <w:tc>
          <w:tcPr>
            <w:tcW w:type="dxa" w:w="1430"/>
          </w:tcPr>
          <w:p>
            <w:pPr>
              <w:spacing w:after="0" w:line="259" w:lineRule="auto"/>
              <w:jc w:val="left"/>
            </w:pPr>
            <w:r>
              <w:rPr>
                <w:rFonts w:ascii="Calibri" w:hAnsi="Calibri"/>
                <w:b w:val="0"/>
                <w:color w:val="1F2937"/>
                <w:sz w:val="16"/>
              </w:rPr>
              <w:t>High, but old</w:t>
            </w:r>
          </w:p>
        </w:tc>
      </w:tr>
      <w:tr>
        <w:trPr>
          <w:cantSplit w:val="true"/>
        </w:trPr>
        <w:tc>
          <w:tcPr>
            <w:tcW w:type="dxa" w:w="1600"/>
          </w:tcPr>
          <w:p>
            <w:pPr>
              <w:spacing w:after="0" w:line="259" w:lineRule="auto"/>
              <w:jc w:val="left"/>
            </w:pPr>
            <w:r>
              <w:rPr>
                <w:rFonts w:ascii="Calibri" w:hAnsi="Calibri"/>
                <w:b/>
                <w:color w:val="1F2937"/>
                <w:sz w:val="16"/>
              </w:rPr>
              <w:t>Glassdoor SWE</w:t>
            </w:r>
          </w:p>
        </w:tc>
        <w:tc>
          <w:tcPr>
            <w:tcW w:type="dxa" w:w="1250"/>
          </w:tcPr>
          <w:p>
            <w:pPr>
              <w:spacing w:after="0" w:line="259" w:lineRule="auto"/>
              <w:jc w:val="left"/>
            </w:pPr>
            <w:r>
              <w:rPr>
                <w:rFonts w:ascii="Calibri" w:hAnsi="Calibri"/>
                <w:b w:val="0"/>
                <w:color w:val="1F2937"/>
                <w:sz w:val="16"/>
              </w:rPr>
              <w:t>Aug 2019</w:t>
            </w:r>
          </w:p>
        </w:tc>
        <w:tc>
          <w:tcPr>
            <w:tcW w:type="dxa" w:w="3780"/>
          </w:tcPr>
          <w:p>
            <w:pPr>
              <w:spacing w:after="0" w:line="259" w:lineRule="auto"/>
              <w:jc w:val="left"/>
            </w:pPr>
            <w:r>
              <w:rPr>
                <w:rFonts w:ascii="Calibri" w:hAnsi="Calibri"/>
                <w:b w:val="0"/>
                <w:color w:val="1F2937"/>
                <w:sz w:val="16"/>
              </w:rPr>
              <w:t>Onsite reportedly had three technical questions and one architecture-design question.</w:t>
            </w:r>
          </w:p>
        </w:tc>
        <w:tc>
          <w:tcPr>
            <w:tcW w:type="dxa" w:w="1300"/>
          </w:tcPr>
          <w:p>
            <w:pPr>
              <w:spacing w:after="0" w:line="259" w:lineRule="auto"/>
              <w:jc w:val="left"/>
            </w:pPr>
            <w:r>
              <w:rPr>
                <w:rFonts w:ascii="Calibri" w:hAnsi="Calibri"/>
                <w:b w:val="0"/>
                <w:color w:val="1F2937"/>
                <w:sz w:val="16"/>
              </w:rPr>
              <w:t>Coding; design</w:t>
            </w:r>
          </w:p>
        </w:tc>
        <w:tc>
          <w:tcPr>
            <w:tcW w:type="dxa" w:w="1430"/>
          </w:tcPr>
          <w:p>
            <w:pPr>
              <w:spacing w:after="0" w:line="259" w:lineRule="auto"/>
              <w:jc w:val="left"/>
            </w:pPr>
            <w:r>
              <w:rPr>
                <w:rFonts w:ascii="Calibri" w:hAnsi="Calibri"/>
                <w:b w:val="0"/>
                <w:color w:val="1F2937"/>
                <w:sz w:val="16"/>
              </w:rPr>
              <w:t>High, but old</w:t>
            </w:r>
          </w:p>
        </w:tc>
      </w:tr>
      <w:tr>
        <w:trPr>
          <w:cantSplit w:val="true"/>
        </w:trPr>
        <w:tc>
          <w:tcPr>
            <w:tcW w:type="dxa" w:w="1600"/>
          </w:tcPr>
          <w:p>
            <w:pPr>
              <w:spacing w:after="0" w:line="259" w:lineRule="auto"/>
              <w:jc w:val="left"/>
            </w:pPr>
            <w:r>
              <w:rPr>
                <w:rFonts w:ascii="Calibri" w:hAnsi="Calibri"/>
                <w:b/>
                <w:color w:val="1F2937"/>
                <w:sz w:val="16"/>
              </w:rPr>
              <w:t>1Point3Acres</w:t>
            </w:r>
          </w:p>
        </w:tc>
        <w:tc>
          <w:tcPr>
            <w:tcW w:type="dxa" w:w="1250"/>
          </w:tcPr>
          <w:p>
            <w:pPr>
              <w:spacing w:after="0" w:line="259" w:lineRule="auto"/>
              <w:jc w:val="left"/>
            </w:pPr>
            <w:r>
              <w:rPr>
                <w:rFonts w:ascii="Calibri" w:hAnsi="Calibri"/>
                <w:b w:val="0"/>
                <w:color w:val="1F2937"/>
                <w:sz w:val="16"/>
              </w:rPr>
              <w:t>Senior Staff 2023</w:t>
            </w:r>
          </w:p>
        </w:tc>
        <w:tc>
          <w:tcPr>
            <w:tcW w:type="dxa" w:w="3780"/>
          </w:tcPr>
          <w:p>
            <w:pPr>
              <w:spacing w:after="0" w:line="259" w:lineRule="auto"/>
              <w:jc w:val="left"/>
            </w:pPr>
            <w:r>
              <w:rPr>
                <w:rFonts w:ascii="Calibri" w:hAnsi="Calibri"/>
                <w:b w:val="0"/>
                <w:color w:val="1F2937"/>
                <w:sz w:val="16"/>
              </w:rPr>
              <w:t>Prior-project/stack discussion; conflict, mentoring, PM disagreement, prioritization; design built around the candidate's prior system.</w:t>
            </w:r>
          </w:p>
        </w:tc>
        <w:tc>
          <w:tcPr>
            <w:tcW w:type="dxa" w:w="1300"/>
          </w:tcPr>
          <w:p>
            <w:pPr>
              <w:spacing w:after="0" w:line="259" w:lineRule="auto"/>
              <w:jc w:val="left"/>
            </w:pPr>
            <w:r>
              <w:rPr>
                <w:rFonts w:ascii="Calibri" w:hAnsi="Calibri"/>
                <w:b w:val="0"/>
                <w:color w:val="1F2937"/>
                <w:sz w:val="16"/>
              </w:rPr>
              <w:t>Design; values; execution</w:t>
            </w:r>
          </w:p>
        </w:tc>
        <w:tc>
          <w:tcPr>
            <w:tcW w:type="dxa" w:w="1430"/>
          </w:tcPr>
          <w:p>
            <w:pPr>
              <w:spacing w:after="0" w:line="259" w:lineRule="auto"/>
              <w:jc w:val="left"/>
            </w:pPr>
            <w:r>
              <w:rPr>
                <w:rFonts w:ascii="Calibri" w:hAnsi="Calibri"/>
                <w:b w:val="0"/>
                <w:color w:val="1F2937"/>
                <w:sz w:val="16"/>
              </w:rPr>
              <w:t>Medium-high; different level</w:t>
            </w:r>
          </w:p>
        </w:tc>
      </w:tr>
      <w:tr>
        <w:trPr>
          <w:cantSplit w:val="true"/>
        </w:trPr>
        <w:tc>
          <w:tcPr>
            <w:tcW w:type="dxa" w:w="1600"/>
          </w:tcPr>
          <w:p>
            <w:pPr>
              <w:spacing w:after="0" w:line="259" w:lineRule="auto"/>
              <w:jc w:val="left"/>
            </w:pPr>
            <w:r>
              <w:rPr>
                <w:rFonts w:ascii="Calibri" w:hAnsi="Calibri"/>
                <w:b/>
                <w:color w:val="1F2937"/>
                <w:sz w:val="16"/>
              </w:rPr>
              <w:t>Glassdoor</w:t>
            </w:r>
          </w:p>
        </w:tc>
        <w:tc>
          <w:tcPr>
            <w:tcW w:type="dxa" w:w="1250"/>
          </w:tcPr>
          <w:p>
            <w:pPr>
              <w:spacing w:after="0" w:line="259" w:lineRule="auto"/>
              <w:jc w:val="left"/>
            </w:pPr>
            <w:r>
              <w:rPr>
                <w:rFonts w:ascii="Calibri" w:hAnsi="Calibri"/>
                <w:b w:val="0"/>
                <w:color w:val="1F2937"/>
                <w:sz w:val="16"/>
              </w:rPr>
              <w:t>SWE / Java 2025</w:t>
            </w:r>
          </w:p>
        </w:tc>
        <w:tc>
          <w:tcPr>
            <w:tcW w:type="dxa" w:w="3780"/>
          </w:tcPr>
          <w:p>
            <w:pPr>
              <w:spacing w:after="0" w:line="259" w:lineRule="auto"/>
              <w:jc w:val="left"/>
            </w:pPr>
            <w:r>
              <w:rPr>
                <w:rFonts w:ascii="Calibri" w:hAnsi="Calibri"/>
                <w:b w:val="0"/>
                <w:color w:val="1F2937"/>
                <w:sz w:val="16"/>
              </w:rPr>
              <w:t>Design a payment system and discuss challenges; Java/Spring, microservices, Docker/K8s, CI/CD, and live coding themes.</w:t>
            </w:r>
          </w:p>
        </w:tc>
        <w:tc>
          <w:tcPr>
            <w:tcW w:type="dxa" w:w="1300"/>
          </w:tcPr>
          <w:p>
            <w:pPr>
              <w:spacing w:after="0" w:line="259" w:lineRule="auto"/>
              <w:jc w:val="left"/>
            </w:pPr>
            <w:r>
              <w:rPr>
                <w:rFonts w:ascii="Calibri" w:hAnsi="Calibri"/>
                <w:b w:val="0"/>
                <w:color w:val="1F2937"/>
                <w:sz w:val="16"/>
              </w:rPr>
              <w:t>Design; coding</w:t>
            </w:r>
          </w:p>
        </w:tc>
        <w:tc>
          <w:tcPr>
            <w:tcW w:type="dxa" w:w="1430"/>
          </w:tcPr>
          <w:p>
            <w:pPr>
              <w:spacing w:after="0" w:line="259" w:lineRule="auto"/>
              <w:jc w:val="left"/>
            </w:pPr>
            <w:r>
              <w:rPr>
                <w:rFonts w:ascii="Calibri" w:hAnsi="Calibri"/>
                <w:b w:val="0"/>
                <w:color w:val="1F2937"/>
                <w:sz w:val="16"/>
              </w:rPr>
              <w:t>High anecdotal; team-specific</w:t>
            </w:r>
          </w:p>
        </w:tc>
      </w:tr>
      <w:tr>
        <w:trPr>
          <w:cantSplit w:val="true"/>
        </w:trPr>
        <w:tc>
          <w:tcPr>
            <w:tcW w:type="dxa" w:w="1600"/>
          </w:tcPr>
          <w:p>
            <w:pPr>
              <w:spacing w:after="0" w:line="259" w:lineRule="auto"/>
              <w:jc w:val="left"/>
            </w:pPr>
            <w:r>
              <w:rPr>
                <w:rFonts w:ascii="Calibri" w:hAnsi="Calibri"/>
                <w:b/>
                <w:color w:val="1F2937"/>
                <w:sz w:val="16"/>
              </w:rPr>
              <w:t>Jointaro mirror</w:t>
            </w:r>
          </w:p>
        </w:tc>
        <w:tc>
          <w:tcPr>
            <w:tcW w:type="dxa" w:w="1250"/>
          </w:tcPr>
          <w:p>
            <w:pPr>
              <w:spacing w:after="0" w:line="259" w:lineRule="auto"/>
              <w:jc w:val="left"/>
            </w:pPr>
            <w:r>
              <w:rPr>
                <w:rFonts w:ascii="Calibri" w:hAnsi="Calibri"/>
                <w:b w:val="0"/>
                <w:color w:val="1F2937"/>
                <w:sz w:val="16"/>
              </w:rPr>
              <w:t>SWE 2018</w:t>
            </w:r>
          </w:p>
        </w:tc>
        <w:tc>
          <w:tcPr>
            <w:tcW w:type="dxa" w:w="3780"/>
          </w:tcPr>
          <w:p>
            <w:pPr>
              <w:spacing w:after="0" w:line="259" w:lineRule="auto"/>
              <w:jc w:val="left"/>
            </w:pPr>
            <w:r>
              <w:rPr>
                <w:rFonts w:ascii="Calibri" w:hAnsi="Calibri"/>
                <w:b w:val="0"/>
                <w:color w:val="1F2937"/>
                <w:sz w:val="16"/>
              </w:rPr>
              <w:t>Why decentralization matters / blockchain familiarity.</w:t>
            </w:r>
          </w:p>
        </w:tc>
        <w:tc>
          <w:tcPr>
            <w:tcW w:type="dxa" w:w="1300"/>
          </w:tcPr>
          <w:p>
            <w:pPr>
              <w:spacing w:after="0" w:line="259" w:lineRule="auto"/>
              <w:jc w:val="left"/>
            </w:pPr>
            <w:r>
              <w:rPr>
                <w:rFonts w:ascii="Calibri" w:hAnsi="Calibri"/>
                <w:b w:val="0"/>
                <w:color w:val="1F2937"/>
                <w:sz w:val="16"/>
              </w:rPr>
              <w:t>Motivation</w:t>
            </w:r>
          </w:p>
        </w:tc>
        <w:tc>
          <w:tcPr>
            <w:tcW w:type="dxa" w:w="1430"/>
          </w:tcPr>
          <w:p>
            <w:pPr>
              <w:spacing w:after="0" w:line="259" w:lineRule="auto"/>
              <w:jc w:val="left"/>
            </w:pPr>
            <w:r>
              <w:rPr>
                <w:rFonts w:ascii="Calibri" w:hAnsi="Calibri"/>
                <w:b w:val="0"/>
                <w:color w:val="1F2937"/>
                <w:sz w:val="16"/>
              </w:rPr>
              <w:t>Medium; old</w:t>
            </w:r>
          </w:p>
        </w:tc>
      </w:tr>
    </w:tbl>
    <w:p>
      <w:pPr>
        <w:spacing w:before="80" w:after="80"/>
      </w:pPr>
      <w:r>
        <w:rPr>
          <w:rFonts w:ascii="Calibri" w:hAnsi="Calibri"/>
          <w:i/>
          <w:color w:val="5F6B7A"/>
          <w:sz w:val="17"/>
        </w:rPr>
        <w:t>Direct links are listed in Section 9. Public process evidence supports problem families, not exact predictions.</w:t>
      </w:r>
    </w:p>
    <w:p>
      <w:pPr>
        <w:pStyle w:val="Heading2"/>
      </w:pPr>
      <w:r>
        <w:t>What repeats across official and public evidence</w:t>
      </w:r>
    </w:p>
    <w:p>
      <w:pPr>
        <w:numPr>
          <w:ilvl w:val="0"/>
          <w:numId w:val="10"/>
        </w:numPr>
        <w:spacing w:after="80" w:line="300" w:lineRule="auto"/>
      </w:pPr>
      <w:r>
        <w:rPr>
          <w:rFonts w:ascii="Calibri" w:hAnsi="Calibri"/>
          <w:color w:val="1F2937"/>
          <w:sz w:val="21"/>
        </w:rPr>
        <w:t>Technical fundamentals plus the ability to explain and adapt under follow-ups.</w:t>
      </w:r>
    </w:p>
    <w:p>
      <w:pPr>
        <w:numPr>
          <w:ilvl w:val="0"/>
          <w:numId w:val="10"/>
        </w:numPr>
        <w:spacing w:after="80" w:line="300" w:lineRule="auto"/>
      </w:pPr>
      <w:r>
        <w:rPr>
          <w:rFonts w:ascii="Calibri" w:hAnsi="Calibri"/>
          <w:color w:val="1F2937"/>
          <w:sz w:val="21"/>
        </w:rPr>
        <w:t>Production-shaped design: APIs, reliability, migration, and operations - not just a whiteboard of services.</w:t>
      </w:r>
    </w:p>
    <w:p>
      <w:pPr>
        <w:numPr>
          <w:ilvl w:val="0"/>
          <w:numId w:val="10"/>
        </w:numPr>
        <w:spacing w:after="80" w:line="300" w:lineRule="auto"/>
      </w:pPr>
      <w:r>
        <w:rPr>
          <w:rFonts w:ascii="Calibri" w:hAnsi="Calibri"/>
          <w:color w:val="1F2937"/>
          <w:sz w:val="21"/>
        </w:rPr>
        <w:t>Object modeling, stateful data structures, and testing rather than only difficult algorithms.</w:t>
      </w:r>
    </w:p>
    <w:p>
      <w:pPr>
        <w:numPr>
          <w:ilvl w:val="0"/>
          <w:numId w:val="10"/>
        </w:numPr>
        <w:spacing w:after="80" w:line="300" w:lineRule="auto"/>
      </w:pPr>
      <w:r>
        <w:rPr>
          <w:rFonts w:ascii="Calibri" w:hAnsi="Calibri"/>
          <w:color w:val="1F2937"/>
          <w:sz w:val="21"/>
        </w:rPr>
        <w:t>Accountability, leadership, conflict, prioritization, and communication with Product or other partners.</w:t>
      </w:r>
    </w:p>
    <w:p>
      <w:pPr>
        <w:numPr>
          <w:ilvl w:val="0"/>
          <w:numId w:val="10"/>
        </w:numPr>
        <w:spacing w:after="80" w:line="300" w:lineRule="auto"/>
      </w:pPr>
      <w:r>
        <w:rPr>
          <w:rFonts w:ascii="Calibri" w:hAnsi="Calibri"/>
          <w:color w:val="1F2937"/>
          <w:sz w:val="21"/>
        </w:rPr>
        <w:t>Prior-project depth as evidence of judgment, even when there is no separate project round.</w:t>
      </w:r>
    </w:p>
    <w:p>
      <w:pPr>
        <w:pStyle w:val="Heading1"/>
      </w:pPr>
      <w:r>
        <w:t>9. Final rehearsal and day-of checklist</w:t>
      </w:r>
    </w:p>
    <w:p>
      <w:pPr>
        <w:pStyle w:val="Heading2"/>
      </w:pPr>
      <w:r>
        <w:t>System-design self-score - practice tool, not Ripple's scoring sheet</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800"/>
        <w:gridCol w:w="2200"/>
        <w:gridCol w:w="2300"/>
        <w:gridCol w:w="3060"/>
      </w:tblGrid>
      <w:tr>
        <w:trPr>
          <w:tblHeader w:val="true"/>
          <w:cantSplit w:val="true"/>
        </w:trPr>
        <w:tc>
          <w:tcPr>
            <w:tcW w:type="dxa" w:w="18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Dimension</w:t>
            </w:r>
          </w:p>
        </w:tc>
        <w:tc>
          <w:tcPr>
            <w:tcW w:type="dxa" w:w="22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0 - missing</w:t>
            </w:r>
          </w:p>
        </w:tc>
        <w:tc>
          <w:tcPr>
            <w:tcW w:type="dxa" w:w="23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1 - partial</w:t>
            </w:r>
          </w:p>
        </w:tc>
        <w:tc>
          <w:tcPr>
            <w:tcW w:type="dxa" w:w="306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7"/>
              </w:rPr>
              <w:t>2 - convincing</w:t>
            </w:r>
          </w:p>
        </w:tc>
      </w:tr>
      <w:tr>
        <w:trPr>
          <w:cantSplit w:val="true"/>
        </w:trPr>
        <w:tc>
          <w:tcPr>
            <w:tcW w:type="dxa" w:w="1800"/>
          </w:tcPr>
          <w:p>
            <w:pPr>
              <w:spacing w:after="0" w:line="259" w:lineRule="auto"/>
              <w:jc w:val="left"/>
            </w:pPr>
            <w:r>
              <w:rPr>
                <w:rFonts w:ascii="Calibri" w:hAnsi="Calibri"/>
                <w:b/>
                <w:color w:val="1F2937"/>
                <w:sz w:val="17"/>
              </w:rPr>
              <w:t>Requirements + boundary</w:t>
            </w:r>
          </w:p>
        </w:tc>
        <w:tc>
          <w:tcPr>
            <w:tcW w:type="dxa" w:w="2200"/>
          </w:tcPr>
          <w:p>
            <w:pPr>
              <w:spacing w:after="0" w:line="259" w:lineRule="auto"/>
              <w:jc w:val="left"/>
            </w:pPr>
            <w:r>
              <w:rPr>
                <w:rFonts w:ascii="Calibri" w:hAnsi="Calibri"/>
                <w:b w:val="0"/>
                <w:color w:val="1F2937"/>
                <w:sz w:val="17"/>
              </w:rPr>
              <w:t>Starts drawing immediately</w:t>
            </w:r>
          </w:p>
        </w:tc>
        <w:tc>
          <w:tcPr>
            <w:tcW w:type="dxa" w:w="2300"/>
          </w:tcPr>
          <w:p>
            <w:pPr>
              <w:spacing w:after="0" w:line="259" w:lineRule="auto"/>
              <w:jc w:val="left"/>
            </w:pPr>
            <w:r>
              <w:rPr>
                <w:rFonts w:ascii="Calibri" w:hAnsi="Calibri"/>
                <w:b w:val="0"/>
                <w:color w:val="1F2937"/>
                <w:sz w:val="17"/>
              </w:rPr>
              <w:t>Some questions; fuzzy nouns</w:t>
            </w:r>
          </w:p>
        </w:tc>
        <w:tc>
          <w:tcPr>
            <w:tcW w:type="dxa" w:w="3060"/>
          </w:tcPr>
          <w:p>
            <w:pPr>
              <w:spacing w:after="0" w:line="259" w:lineRule="auto"/>
              <w:jc w:val="left"/>
            </w:pPr>
            <w:r>
              <w:rPr>
                <w:rFonts w:ascii="Calibri" w:hAnsi="Calibri"/>
                <w:b w:val="0"/>
                <w:color w:val="1F2937"/>
                <w:sz w:val="17"/>
              </w:rPr>
              <w:t>Prioritized questions; ownership and scope explicit</w:t>
            </w:r>
          </w:p>
        </w:tc>
      </w:tr>
      <w:tr>
        <w:trPr>
          <w:cantSplit w:val="true"/>
        </w:trPr>
        <w:tc>
          <w:tcPr>
            <w:tcW w:type="dxa" w:w="1800"/>
          </w:tcPr>
          <w:p>
            <w:pPr>
              <w:spacing w:after="0" w:line="259" w:lineRule="auto"/>
              <w:jc w:val="left"/>
            </w:pPr>
            <w:r>
              <w:rPr>
                <w:rFonts w:ascii="Calibri" w:hAnsi="Calibri"/>
                <w:b/>
                <w:color w:val="1F2937"/>
                <w:sz w:val="17"/>
              </w:rPr>
              <w:t>Model + invariants</w:t>
            </w:r>
          </w:p>
        </w:tc>
        <w:tc>
          <w:tcPr>
            <w:tcW w:type="dxa" w:w="2200"/>
          </w:tcPr>
          <w:p>
            <w:pPr>
              <w:spacing w:after="0" w:line="259" w:lineRule="auto"/>
              <w:jc w:val="left"/>
            </w:pPr>
            <w:r>
              <w:rPr>
                <w:rFonts w:ascii="Calibri" w:hAnsi="Calibri"/>
                <w:b w:val="0"/>
                <w:color w:val="1F2937"/>
                <w:sz w:val="17"/>
              </w:rPr>
              <w:t>Boxes only</w:t>
            </w:r>
          </w:p>
        </w:tc>
        <w:tc>
          <w:tcPr>
            <w:tcW w:type="dxa" w:w="2300"/>
          </w:tcPr>
          <w:p>
            <w:pPr>
              <w:spacing w:after="0" w:line="259" w:lineRule="auto"/>
              <w:jc w:val="left"/>
            </w:pPr>
            <w:r>
              <w:rPr>
                <w:rFonts w:ascii="Calibri" w:hAnsi="Calibri"/>
                <w:b w:val="0"/>
                <w:color w:val="1F2937"/>
                <w:sz w:val="17"/>
              </w:rPr>
              <w:t>Entities named</w:t>
            </w:r>
          </w:p>
        </w:tc>
        <w:tc>
          <w:tcPr>
            <w:tcW w:type="dxa" w:w="3060"/>
          </w:tcPr>
          <w:p>
            <w:pPr>
              <w:spacing w:after="0" w:line="259" w:lineRule="auto"/>
              <w:jc w:val="left"/>
            </w:pPr>
            <w:r>
              <w:rPr>
                <w:rFonts w:ascii="Calibri" w:hAnsi="Calibri"/>
                <w:b w:val="0"/>
                <w:color w:val="1F2937"/>
                <w:sz w:val="17"/>
              </w:rPr>
              <w:t>Relationships, lifecycle, tenant safety, and decision history</w:t>
            </w:r>
          </w:p>
        </w:tc>
      </w:tr>
      <w:tr>
        <w:trPr>
          <w:cantSplit w:val="true"/>
        </w:trPr>
        <w:tc>
          <w:tcPr>
            <w:tcW w:type="dxa" w:w="1800"/>
          </w:tcPr>
          <w:p>
            <w:pPr>
              <w:spacing w:after="0" w:line="259" w:lineRule="auto"/>
              <w:jc w:val="left"/>
            </w:pPr>
            <w:r>
              <w:rPr>
                <w:rFonts w:ascii="Calibri" w:hAnsi="Calibri"/>
                <w:b/>
                <w:color w:val="1F2937"/>
                <w:sz w:val="17"/>
              </w:rPr>
              <w:t>Contracts</w:t>
            </w:r>
          </w:p>
        </w:tc>
        <w:tc>
          <w:tcPr>
            <w:tcW w:type="dxa" w:w="2200"/>
          </w:tcPr>
          <w:p>
            <w:pPr>
              <w:spacing w:after="0" w:line="259" w:lineRule="auto"/>
              <w:jc w:val="left"/>
            </w:pPr>
            <w:r>
              <w:rPr>
                <w:rFonts w:ascii="Calibri" w:hAnsi="Calibri"/>
                <w:b w:val="0"/>
                <w:color w:val="1F2937"/>
                <w:sz w:val="17"/>
              </w:rPr>
              <w:t>Endpoints only</w:t>
            </w:r>
          </w:p>
        </w:tc>
        <w:tc>
          <w:tcPr>
            <w:tcW w:type="dxa" w:w="2300"/>
          </w:tcPr>
          <w:p>
            <w:pPr>
              <w:spacing w:after="0" w:line="259" w:lineRule="auto"/>
              <w:jc w:val="left"/>
            </w:pPr>
            <w:r>
              <w:rPr>
                <w:rFonts w:ascii="Calibri" w:hAnsi="Calibri"/>
                <w:b w:val="0"/>
                <w:color w:val="1F2937"/>
                <w:sz w:val="17"/>
              </w:rPr>
              <w:t>Basic request/response</w:t>
            </w:r>
          </w:p>
        </w:tc>
        <w:tc>
          <w:tcPr>
            <w:tcW w:type="dxa" w:w="3060"/>
          </w:tcPr>
          <w:p>
            <w:pPr>
              <w:spacing w:after="0" w:line="259" w:lineRule="auto"/>
              <w:jc w:val="left"/>
            </w:pPr>
            <w:r>
              <w:rPr>
                <w:rFonts w:ascii="Calibri" w:hAnsi="Calibri"/>
                <w:b w:val="0"/>
                <w:color w:val="1F2937"/>
                <w:sz w:val="17"/>
              </w:rPr>
              <w:t>Idempotency, concurrency, retry, errors, versioning, events</w:t>
            </w:r>
          </w:p>
        </w:tc>
      </w:tr>
      <w:tr>
        <w:trPr>
          <w:cantSplit w:val="true"/>
        </w:trPr>
        <w:tc>
          <w:tcPr>
            <w:tcW w:type="dxa" w:w="1800"/>
          </w:tcPr>
          <w:p>
            <w:pPr>
              <w:spacing w:after="0" w:line="259" w:lineRule="auto"/>
              <w:jc w:val="left"/>
            </w:pPr>
            <w:r>
              <w:rPr>
                <w:rFonts w:ascii="Calibri" w:hAnsi="Calibri"/>
                <w:b/>
                <w:color w:val="1F2937"/>
                <w:sz w:val="17"/>
              </w:rPr>
              <w:t>Reliability</w:t>
            </w:r>
          </w:p>
        </w:tc>
        <w:tc>
          <w:tcPr>
            <w:tcW w:type="dxa" w:w="2200"/>
          </w:tcPr>
          <w:p>
            <w:pPr>
              <w:spacing w:after="0" w:line="259" w:lineRule="auto"/>
              <w:jc w:val="left"/>
            </w:pPr>
            <w:r>
              <w:rPr>
                <w:rFonts w:ascii="Calibri" w:hAnsi="Calibri"/>
                <w:b w:val="0"/>
                <w:color w:val="1F2937"/>
                <w:sz w:val="17"/>
              </w:rPr>
              <w:t>Happy path</w:t>
            </w:r>
          </w:p>
        </w:tc>
        <w:tc>
          <w:tcPr>
            <w:tcW w:type="dxa" w:w="2300"/>
          </w:tcPr>
          <w:p>
            <w:pPr>
              <w:spacing w:after="0" w:line="259" w:lineRule="auto"/>
              <w:jc w:val="left"/>
            </w:pPr>
            <w:r>
              <w:rPr>
                <w:rFonts w:ascii="Calibri" w:hAnsi="Calibri"/>
                <w:b w:val="0"/>
                <w:color w:val="1F2937"/>
                <w:sz w:val="17"/>
              </w:rPr>
              <w:t>Mentions replicas/retries</w:t>
            </w:r>
          </w:p>
        </w:tc>
        <w:tc>
          <w:tcPr>
            <w:tcW w:type="dxa" w:w="3060"/>
          </w:tcPr>
          <w:p>
            <w:pPr>
              <w:spacing w:after="0" w:line="259" w:lineRule="auto"/>
              <w:jc w:val="left"/>
            </w:pPr>
            <w:r>
              <w:rPr>
                <w:rFonts w:ascii="Calibri" w:hAnsi="Calibri"/>
                <w:b w:val="0"/>
                <w:color w:val="1F2937"/>
                <w:sz w:val="17"/>
              </w:rPr>
              <w:t>Dependency-specific behavior, backpressure, recovery, SLOs</w:t>
            </w:r>
          </w:p>
        </w:tc>
      </w:tr>
      <w:tr>
        <w:trPr>
          <w:cantSplit w:val="true"/>
        </w:trPr>
        <w:tc>
          <w:tcPr>
            <w:tcW w:type="dxa" w:w="1800"/>
          </w:tcPr>
          <w:p>
            <w:pPr>
              <w:spacing w:after="0" w:line="259" w:lineRule="auto"/>
              <w:jc w:val="left"/>
            </w:pPr>
            <w:r>
              <w:rPr>
                <w:rFonts w:ascii="Calibri" w:hAnsi="Calibri"/>
                <w:b/>
                <w:color w:val="1F2937"/>
                <w:sz w:val="17"/>
              </w:rPr>
              <w:t>Migration</w:t>
            </w:r>
          </w:p>
        </w:tc>
        <w:tc>
          <w:tcPr>
            <w:tcW w:type="dxa" w:w="2200"/>
          </w:tcPr>
          <w:p>
            <w:pPr>
              <w:spacing w:after="0" w:line="259" w:lineRule="auto"/>
              <w:jc w:val="left"/>
            </w:pPr>
            <w:r>
              <w:rPr>
                <w:rFonts w:ascii="Calibri" w:hAnsi="Calibri"/>
                <w:b w:val="0"/>
                <w:color w:val="1F2937"/>
                <w:sz w:val="17"/>
              </w:rPr>
              <w:t>Big-bang or vague dual write</w:t>
            </w:r>
          </w:p>
        </w:tc>
        <w:tc>
          <w:tcPr>
            <w:tcW w:type="dxa" w:w="2300"/>
          </w:tcPr>
          <w:p>
            <w:pPr>
              <w:spacing w:after="0" w:line="259" w:lineRule="auto"/>
              <w:jc w:val="left"/>
            </w:pPr>
            <w:r>
              <w:rPr>
                <w:rFonts w:ascii="Calibri" w:hAnsi="Calibri"/>
                <w:b w:val="0"/>
                <w:color w:val="1F2937"/>
                <w:sz w:val="17"/>
              </w:rPr>
              <w:t>Backfill mentioned</w:t>
            </w:r>
          </w:p>
        </w:tc>
        <w:tc>
          <w:tcPr>
            <w:tcW w:type="dxa" w:w="3060"/>
          </w:tcPr>
          <w:p>
            <w:pPr>
              <w:spacing w:after="0" w:line="259" w:lineRule="auto"/>
              <w:jc w:val="left"/>
            </w:pPr>
            <w:r>
              <w:rPr>
                <w:rFonts w:ascii="Calibri" w:hAnsi="Calibri"/>
                <w:b w:val="0"/>
                <w:color w:val="1F2937"/>
                <w:sz w:val="17"/>
              </w:rPr>
              <w:t>Crosswalk, CDC, shadow, reconcile, phased cutover, rollback</w:t>
            </w:r>
          </w:p>
        </w:tc>
      </w:tr>
      <w:tr>
        <w:trPr>
          <w:cantSplit w:val="true"/>
        </w:trPr>
        <w:tc>
          <w:tcPr>
            <w:tcW w:type="dxa" w:w="1800"/>
          </w:tcPr>
          <w:p>
            <w:pPr>
              <w:spacing w:after="0" w:line="259" w:lineRule="auto"/>
              <w:jc w:val="left"/>
            </w:pPr>
            <w:r>
              <w:rPr>
                <w:rFonts w:ascii="Calibri" w:hAnsi="Calibri"/>
                <w:b/>
                <w:color w:val="1F2937"/>
                <w:sz w:val="17"/>
              </w:rPr>
              <w:t>Security + compliance</w:t>
            </w:r>
          </w:p>
        </w:tc>
        <w:tc>
          <w:tcPr>
            <w:tcW w:type="dxa" w:w="2200"/>
          </w:tcPr>
          <w:p>
            <w:pPr>
              <w:spacing w:after="0" w:line="259" w:lineRule="auto"/>
              <w:jc w:val="left"/>
            </w:pPr>
            <w:r>
              <w:rPr>
                <w:rFonts w:ascii="Calibri" w:hAnsi="Calibri"/>
                <w:b w:val="0"/>
                <w:color w:val="1F2937"/>
                <w:sz w:val="17"/>
              </w:rPr>
              <w:t>Generic encryption</w:t>
            </w:r>
          </w:p>
        </w:tc>
        <w:tc>
          <w:tcPr>
            <w:tcW w:type="dxa" w:w="2300"/>
          </w:tcPr>
          <w:p>
            <w:pPr>
              <w:spacing w:after="0" w:line="259" w:lineRule="auto"/>
              <w:jc w:val="left"/>
            </w:pPr>
            <w:r>
              <w:rPr>
                <w:rFonts w:ascii="Calibri" w:hAnsi="Calibri"/>
                <w:b w:val="0"/>
                <w:color w:val="1F2937"/>
                <w:sz w:val="17"/>
              </w:rPr>
              <w:t>PII/auth mentioned</w:t>
            </w:r>
          </w:p>
        </w:tc>
        <w:tc>
          <w:tcPr>
            <w:tcW w:type="dxa" w:w="3060"/>
          </w:tcPr>
          <w:p>
            <w:pPr>
              <w:spacing w:after="0" w:line="259" w:lineRule="auto"/>
              <w:jc w:val="left"/>
            </w:pPr>
            <w:r>
              <w:rPr>
                <w:rFonts w:ascii="Calibri" w:hAnsi="Calibri"/>
                <w:b w:val="0"/>
                <w:color w:val="1F2937"/>
                <w:sz w:val="17"/>
              </w:rPr>
              <w:t>Tenant isolation, evidence, policy versions, audit, SoD, retention</w:t>
            </w:r>
          </w:p>
        </w:tc>
      </w:tr>
      <w:tr>
        <w:trPr>
          <w:cantSplit w:val="true"/>
        </w:trPr>
        <w:tc>
          <w:tcPr>
            <w:tcW w:type="dxa" w:w="1800"/>
          </w:tcPr>
          <w:p>
            <w:pPr>
              <w:spacing w:after="0" w:line="259" w:lineRule="auto"/>
              <w:jc w:val="left"/>
            </w:pPr>
            <w:r>
              <w:rPr>
                <w:rFonts w:ascii="Calibri" w:hAnsi="Calibri"/>
                <w:b/>
                <w:color w:val="1F2937"/>
                <w:sz w:val="17"/>
              </w:rPr>
              <w:t>Tradeoffs + communication</w:t>
            </w:r>
          </w:p>
        </w:tc>
        <w:tc>
          <w:tcPr>
            <w:tcW w:type="dxa" w:w="2200"/>
          </w:tcPr>
          <w:p>
            <w:pPr>
              <w:spacing w:after="0" w:line="259" w:lineRule="auto"/>
              <w:jc w:val="left"/>
            </w:pPr>
            <w:r>
              <w:rPr>
                <w:rFonts w:ascii="Calibri" w:hAnsi="Calibri"/>
                <w:b w:val="0"/>
                <w:color w:val="1F2937"/>
                <w:sz w:val="17"/>
              </w:rPr>
              <w:t>One answer presented as fact</w:t>
            </w:r>
          </w:p>
        </w:tc>
        <w:tc>
          <w:tcPr>
            <w:tcW w:type="dxa" w:w="2300"/>
          </w:tcPr>
          <w:p>
            <w:pPr>
              <w:spacing w:after="0" w:line="259" w:lineRule="auto"/>
              <w:jc w:val="left"/>
            </w:pPr>
            <w:r>
              <w:rPr>
                <w:rFonts w:ascii="Calibri" w:hAnsi="Calibri"/>
                <w:b w:val="0"/>
                <w:color w:val="1F2937"/>
                <w:sz w:val="17"/>
              </w:rPr>
              <w:t>Some alternatives</w:t>
            </w:r>
          </w:p>
        </w:tc>
        <w:tc>
          <w:tcPr>
            <w:tcW w:type="dxa" w:w="3060"/>
          </w:tcPr>
          <w:p>
            <w:pPr>
              <w:spacing w:after="0" w:line="259" w:lineRule="auto"/>
              <w:jc w:val="left"/>
            </w:pPr>
            <w:r>
              <w:rPr>
                <w:rFonts w:ascii="Calibri" w:hAnsi="Calibri"/>
                <w:b w:val="0"/>
                <w:color w:val="1F2937"/>
                <w:sz w:val="17"/>
              </w:rPr>
              <w:t>Choices, costs, triggers to revisit, crisp summary</w:t>
            </w:r>
          </w:p>
        </w:tc>
      </w:tr>
    </w:tbl>
    <w:p>
      <w:pPr>
        <w:spacing w:before="0" w:after="40"/>
      </w:pPr>
    </w:p>
    <w:p>
      <w:pPr>
        <w:pStyle w:val="Heading2"/>
      </w:pPr>
      <w:r>
        <w:t>Coding self-score - practice tool</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Dimension</w:t>
            </w:r>
          </w:p>
        </w:tc>
        <w:tc>
          <w:tcPr>
            <w:tcW w:type="dxa" w:w="7160"/>
            <w:tcMar>
              <w:top w:w="80" w:type="dxa"/>
              <w:start w:w="120" w:type="dxa"/>
              <w:bottom w:w="80" w:type="dxa"/>
              <w:end w:w="120" w:type="dxa"/>
            </w:tcMar>
            <w:vAlign w:val="center"/>
            <w:shd w:fill="E8EEF5" w:val="clear"/>
          </w:tcPr>
          <w:p>
            <w:pPr>
              <w:spacing w:after="0" w:line="252" w:lineRule="auto"/>
              <w:jc w:val="left"/>
            </w:pPr>
            <w:r>
              <w:rPr>
                <w:rFonts w:ascii="Calibri" w:hAnsi="Calibri"/>
                <w:b/>
                <w:color w:val="0B2545"/>
                <w:sz w:val="18"/>
              </w:rPr>
              <w:t>Evidence to see in the mock</w:t>
            </w:r>
          </w:p>
        </w:tc>
      </w:tr>
      <w:tr>
        <w:trPr>
          <w:cantSplit w:val="true"/>
        </w:trPr>
        <w:tc>
          <w:tcPr>
            <w:tcW w:type="dxa" w:w="2200"/>
          </w:tcPr>
          <w:p>
            <w:pPr>
              <w:spacing w:after="0" w:line="259" w:lineRule="auto"/>
              <w:jc w:val="left"/>
            </w:pPr>
            <w:r>
              <w:rPr>
                <w:rFonts w:ascii="Calibri" w:hAnsi="Calibri"/>
                <w:b/>
                <w:color w:val="1F2937"/>
                <w:sz w:val="18"/>
              </w:rPr>
              <w:t>Contract + examples</w:t>
            </w:r>
          </w:p>
        </w:tc>
        <w:tc>
          <w:tcPr>
            <w:tcW w:type="dxa" w:w="7160"/>
          </w:tcPr>
          <w:p>
            <w:pPr>
              <w:spacing w:after="0" w:line="259" w:lineRule="auto"/>
              <w:jc w:val="left"/>
            </w:pPr>
            <w:r>
              <w:rPr>
                <w:rFonts w:ascii="Calibri" w:hAnsi="Calibri"/>
                <w:b w:val="0"/>
                <w:color w:val="1F2937"/>
                <w:sz w:val="18"/>
              </w:rPr>
              <w:t>Inputs/outputs, constraints, invalid states, and expected extension are agreed before coding.</w:t>
            </w:r>
          </w:p>
        </w:tc>
      </w:tr>
      <w:tr>
        <w:trPr>
          <w:cantSplit w:val="true"/>
        </w:trPr>
        <w:tc>
          <w:tcPr>
            <w:tcW w:type="dxa" w:w="2200"/>
          </w:tcPr>
          <w:p>
            <w:pPr>
              <w:spacing w:after="0" w:line="259" w:lineRule="auto"/>
              <w:jc w:val="left"/>
            </w:pPr>
            <w:r>
              <w:rPr>
                <w:rFonts w:ascii="Calibri" w:hAnsi="Calibri"/>
                <w:b/>
                <w:color w:val="1F2937"/>
                <w:sz w:val="18"/>
              </w:rPr>
              <w:t>Data structures/patterns</w:t>
            </w:r>
          </w:p>
        </w:tc>
        <w:tc>
          <w:tcPr>
            <w:tcW w:type="dxa" w:w="7160"/>
          </w:tcPr>
          <w:p>
            <w:pPr>
              <w:spacing w:after="0" w:line="259" w:lineRule="auto"/>
              <w:jc w:val="left"/>
            </w:pPr>
            <w:r>
              <w:rPr>
                <w:rFonts w:ascii="Calibri" w:hAnsi="Calibri"/>
                <w:b w:val="0"/>
                <w:color w:val="1F2937"/>
                <w:sz w:val="18"/>
              </w:rPr>
              <w:t>Every structure or pattern is justified by access pattern or expected variation.</w:t>
            </w:r>
          </w:p>
        </w:tc>
      </w:tr>
      <w:tr>
        <w:trPr>
          <w:cantSplit w:val="true"/>
        </w:trPr>
        <w:tc>
          <w:tcPr>
            <w:tcW w:type="dxa" w:w="2200"/>
          </w:tcPr>
          <w:p>
            <w:pPr>
              <w:spacing w:after="0" w:line="259" w:lineRule="auto"/>
              <w:jc w:val="left"/>
            </w:pPr>
            <w:r>
              <w:rPr>
                <w:rFonts w:ascii="Calibri" w:hAnsi="Calibri"/>
                <w:b/>
                <w:color w:val="1F2937"/>
                <w:sz w:val="18"/>
              </w:rPr>
              <w:t>Clean design</w:t>
            </w:r>
          </w:p>
        </w:tc>
        <w:tc>
          <w:tcPr>
            <w:tcW w:type="dxa" w:w="7160"/>
          </w:tcPr>
          <w:p>
            <w:pPr>
              <w:spacing w:after="0" w:line="259" w:lineRule="auto"/>
              <w:jc w:val="left"/>
            </w:pPr>
            <w:r>
              <w:rPr>
                <w:rFonts w:ascii="Calibri" w:hAnsi="Calibri"/>
                <w:b w:val="0"/>
                <w:color w:val="1F2937"/>
                <w:sz w:val="18"/>
              </w:rPr>
              <w:t>Cohesive methods/classes, precise names, immutable values where useful, injected dependencies, no global state.</w:t>
            </w:r>
          </w:p>
        </w:tc>
      </w:tr>
      <w:tr>
        <w:trPr>
          <w:cantSplit w:val="true"/>
        </w:trPr>
        <w:tc>
          <w:tcPr>
            <w:tcW w:type="dxa" w:w="2200"/>
          </w:tcPr>
          <w:p>
            <w:pPr>
              <w:spacing w:after="0" w:line="259" w:lineRule="auto"/>
              <w:jc w:val="left"/>
            </w:pPr>
            <w:r>
              <w:rPr>
                <w:rFonts w:ascii="Calibri" w:hAnsi="Calibri"/>
                <w:b/>
                <w:color w:val="1F2937"/>
                <w:sz w:val="18"/>
              </w:rPr>
              <w:t>Correctness + tests</w:t>
            </w:r>
          </w:p>
        </w:tc>
        <w:tc>
          <w:tcPr>
            <w:tcW w:type="dxa" w:w="7160"/>
          </w:tcPr>
          <w:p>
            <w:pPr>
              <w:spacing w:after="0" w:line="259" w:lineRule="auto"/>
              <w:jc w:val="left"/>
            </w:pPr>
            <w:r>
              <w:rPr>
                <w:rFonts w:ascii="Calibri" w:hAnsi="Calibri"/>
                <w:b w:val="0"/>
                <w:color w:val="1F2937"/>
                <w:sz w:val="18"/>
              </w:rPr>
              <w:t>Runnable core plus happy, empty/boundary, duplicate/conflict, invalid, and failure tests.</w:t>
            </w:r>
          </w:p>
        </w:tc>
      </w:tr>
      <w:tr>
        <w:trPr>
          <w:cantSplit w:val="true"/>
        </w:trPr>
        <w:tc>
          <w:tcPr>
            <w:tcW w:type="dxa" w:w="2200"/>
          </w:tcPr>
          <w:p>
            <w:pPr>
              <w:spacing w:after="0" w:line="259" w:lineRule="auto"/>
              <w:jc w:val="left"/>
            </w:pPr>
            <w:r>
              <w:rPr>
                <w:rFonts w:ascii="Calibri" w:hAnsi="Calibri"/>
                <w:b/>
                <w:color w:val="1F2937"/>
                <w:sz w:val="18"/>
              </w:rPr>
              <w:t>Extensibility</w:t>
            </w:r>
          </w:p>
        </w:tc>
        <w:tc>
          <w:tcPr>
            <w:tcW w:type="dxa" w:w="7160"/>
          </w:tcPr>
          <w:p>
            <w:pPr>
              <w:spacing w:after="0" w:line="259" w:lineRule="auto"/>
              <w:jc w:val="left"/>
            </w:pPr>
            <w:r>
              <w:rPr>
                <w:rFonts w:ascii="Calibri" w:hAnsi="Calibri"/>
                <w:b w:val="0"/>
                <w:color w:val="1F2937"/>
                <w:sz w:val="18"/>
              </w:rPr>
              <w:t>One follow-up can be added without rewriting the core; no speculative architecture.</w:t>
            </w:r>
          </w:p>
        </w:tc>
      </w:tr>
      <w:tr>
        <w:trPr>
          <w:cantSplit w:val="true"/>
        </w:trPr>
        <w:tc>
          <w:tcPr>
            <w:tcW w:type="dxa" w:w="2200"/>
          </w:tcPr>
          <w:p>
            <w:pPr>
              <w:spacing w:after="0" w:line="259" w:lineRule="auto"/>
              <w:jc w:val="left"/>
            </w:pPr>
            <w:r>
              <w:rPr>
                <w:rFonts w:ascii="Calibri" w:hAnsi="Calibri"/>
                <w:b/>
                <w:color w:val="1F2937"/>
                <w:sz w:val="18"/>
              </w:rPr>
              <w:t>Communication</w:t>
            </w:r>
          </w:p>
        </w:tc>
        <w:tc>
          <w:tcPr>
            <w:tcW w:type="dxa" w:w="7160"/>
          </w:tcPr>
          <w:p>
            <w:pPr>
              <w:spacing w:after="0" w:line="259" w:lineRule="auto"/>
              <w:jc w:val="left"/>
            </w:pPr>
            <w:r>
              <w:rPr>
                <w:rFonts w:ascii="Calibri" w:hAnsi="Calibri"/>
                <w:b w:val="0"/>
                <w:color w:val="1F2937"/>
                <w:sz w:val="18"/>
              </w:rPr>
              <w:t>Complexity, invariants, bugs, assumptions, and production gaps are clear without narrating every keystroke.</w:t>
            </w:r>
          </w:p>
        </w:tc>
      </w:tr>
    </w:tbl>
    <w:p>
      <w:pPr>
        <w:spacing w:before="0" w:after="40"/>
      </w:pPr>
    </w:p>
    <w:p>
      <w:pPr>
        <w:pStyle w:val="Heading2"/>
      </w:pPr>
      <w:r>
        <w:t>Behavioral answer audit</w:t>
      </w:r>
    </w:p>
    <w:p>
      <w:pPr>
        <w:numPr>
          <w:ilvl w:val="0"/>
          <w:numId w:val="10"/>
        </w:numPr>
        <w:spacing w:after="80" w:line="300" w:lineRule="auto"/>
      </w:pPr>
      <w:r>
        <w:rPr>
          <w:rFonts w:ascii="Calibri" w:hAnsi="Calibri"/>
          <w:color w:val="1F2937"/>
          <w:sz w:val="21"/>
        </w:rPr>
        <w:t>The first sentence names the situation and stakes; the conflict is real and both sides are represented fairly.</w:t>
      </w:r>
    </w:p>
    <w:p>
      <w:pPr>
        <w:numPr>
          <w:ilvl w:val="0"/>
          <w:numId w:val="10"/>
        </w:numPr>
        <w:spacing w:after="80" w:line="300" w:lineRule="auto"/>
      </w:pPr>
      <w:r>
        <w:rPr>
          <w:rFonts w:ascii="Calibri" w:hAnsi="Calibri"/>
          <w:color w:val="1F2937"/>
          <w:sz w:val="21"/>
        </w:rPr>
        <w:t>Your personal decision and action are unmistakable; the team's contribution is still credited.</w:t>
      </w:r>
    </w:p>
    <w:p>
      <w:pPr>
        <w:numPr>
          <w:ilvl w:val="0"/>
          <w:numId w:val="10"/>
        </w:numPr>
        <w:spacing w:after="80" w:line="300" w:lineRule="auto"/>
      </w:pPr>
      <w:r>
        <w:rPr>
          <w:rFonts w:ascii="Calibri" w:hAnsi="Calibri"/>
          <w:color w:val="1F2937"/>
          <w:sz w:val="21"/>
        </w:rPr>
        <w:t>The largest result is measured and the attribution is defensible.</w:t>
      </w:r>
    </w:p>
    <w:p>
      <w:pPr>
        <w:numPr>
          <w:ilvl w:val="0"/>
          <w:numId w:val="10"/>
        </w:numPr>
        <w:spacing w:after="80" w:line="300" w:lineRule="auto"/>
      </w:pPr>
      <w:r>
        <w:rPr>
          <w:rFonts w:ascii="Calibri" w:hAnsi="Calibri"/>
          <w:color w:val="1F2937"/>
          <w:sz w:val="21"/>
        </w:rPr>
        <w:t>The answer shows a tradeoff, not a hero narrative; the learning changed a system, process, or future decision.</w:t>
      </w:r>
    </w:p>
    <w:p>
      <w:pPr>
        <w:numPr>
          <w:ilvl w:val="0"/>
          <w:numId w:val="10"/>
        </w:numPr>
        <w:spacing w:after="80" w:line="300" w:lineRule="auto"/>
      </w:pPr>
      <w:r>
        <w:rPr>
          <w:rFonts w:ascii="Calibri" w:hAnsi="Calibri"/>
          <w:color w:val="1F2937"/>
          <w:sz w:val="21"/>
        </w:rPr>
        <w:t>You can handle two levels of follow-up: technical detail and stakeholder judgment.</w:t>
      </w:r>
    </w:p>
    <w:p>
      <w:pPr>
        <w:pStyle w:val="Heading2"/>
      </w:pPr>
      <w:r>
        <w:t>Pack and execute</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9360"/>
      </w:tblGrid>
      <w:tr>
        <w:trPr>
          <w:tblHeader w:val="true"/>
          <w:cantSplit w:val="true"/>
        </w:trPr>
        <w:tc>
          <w:tcPr>
            <w:tcW w:type="dxa" w:w="9360"/>
            <w:tcMar>
              <w:top w:w="80" w:type="dxa"/>
              <w:start w:w="120" w:type="dxa"/>
              <w:bottom w:w="80" w:type="dxa"/>
              <w:end w:w="120" w:type="dxa"/>
            </w:tcMar>
            <w:vAlign w:val="center"/>
            <w:shd w:fill="FFF8E8" w:val="clear"/>
          </w:tcPr>
          <w:p>
            <w:pPr>
              <w:spacing w:after="0" w:line="252" w:lineRule="auto"/>
              <w:jc w:val="left"/>
            </w:pPr>
            <w:r>
              <w:rPr>
                <w:rFonts w:ascii="Calibri" w:hAnsi="Calibri"/>
                <w:b/>
                <w:color w:val="0B2545"/>
                <w:sz w:val="19"/>
              </w:rPr>
              <w:t>Ready</w:t>
            </w:r>
          </w:p>
        </w:tc>
      </w:tr>
      <w:tr>
        <w:trPr>
          <w:cantSplit w:val="true"/>
        </w:trPr>
        <w:tc>
          <w:tcPr>
            <w:tcW w:type="dxa" w:w="9360"/>
          </w:tcPr>
          <w:p>
            <w:pPr>
              <w:spacing w:after="0" w:line="259" w:lineRule="auto"/>
              <w:jc w:val="left"/>
            </w:pPr>
            <w:r>
              <w:rPr>
                <w:rFonts w:ascii="Calibri" w:hAnsi="Calibri"/>
                <w:b w:val="0"/>
                <w:color w:val="1F2937"/>
                <w:sz w:val="19"/>
              </w:rPr>
              <w:t>Laptop is charged; charger packed; OS/browser updates complete; notifications disabled.</w:t>
            </w:r>
          </w:p>
        </w:tc>
      </w:tr>
      <w:tr>
        <w:trPr>
          <w:cantSplit w:val="true"/>
        </w:trPr>
        <w:tc>
          <w:tcPr>
            <w:tcW w:type="dxa" w:w="9360"/>
          </w:tcPr>
          <w:p>
            <w:pPr>
              <w:spacing w:after="0" w:line="259" w:lineRule="auto"/>
              <w:jc w:val="left"/>
            </w:pPr>
            <w:r>
              <w:rPr>
                <w:rFonts w:ascii="Calibri" w:hAnsi="Calibri"/>
                <w:b w:val="0"/>
                <w:color w:val="1F2937"/>
                <w:sz w:val="19"/>
              </w:rPr>
              <w:t>CoderPad account/browser tested for code, running tests, and whiteboard arrows/text.</w:t>
            </w:r>
          </w:p>
        </w:tc>
      </w:tr>
      <w:tr>
        <w:trPr>
          <w:cantSplit w:val="true"/>
        </w:trPr>
        <w:tc>
          <w:tcPr>
            <w:tcW w:type="dxa" w:w="9360"/>
          </w:tcPr>
          <w:p>
            <w:pPr>
              <w:spacing w:after="0" w:line="259" w:lineRule="auto"/>
              <w:jc w:val="left"/>
            </w:pPr>
            <w:r>
              <w:rPr>
                <w:rFonts w:ascii="Calibri" w:hAnsi="Calibri"/>
                <w:b w:val="0"/>
                <w:color w:val="1F2937"/>
                <w:sz w:val="19"/>
              </w:rPr>
              <w:t>NDA complete; calendar accepted; start confirmed as 11:00 AM Pacific; route and parking/transit checked.</w:t>
            </w:r>
          </w:p>
        </w:tc>
      </w:tr>
      <w:tr>
        <w:trPr>
          <w:cantSplit w:val="true"/>
        </w:trPr>
        <w:tc>
          <w:tcPr>
            <w:tcW w:type="dxa" w:w="9360"/>
          </w:tcPr>
          <w:p>
            <w:pPr>
              <w:spacing w:after="0" w:line="259" w:lineRule="auto"/>
              <w:jc w:val="left"/>
            </w:pPr>
            <w:r>
              <w:rPr>
                <w:rFonts w:ascii="Calibri" w:hAnsi="Calibri"/>
                <w:b w:val="0"/>
                <w:color w:val="1F2937"/>
                <w:sz w:val="19"/>
              </w:rPr>
              <w:t>Flagship project has a 2-minute opening, defensible metrics, one tradeoff, one failure mode, and one hindsight point.</w:t>
            </w:r>
          </w:p>
        </w:tc>
      </w:tr>
      <w:tr>
        <w:trPr>
          <w:cantSplit w:val="true"/>
        </w:trPr>
        <w:tc>
          <w:tcPr>
            <w:tcW w:type="dxa" w:w="9360"/>
          </w:tcPr>
          <w:p>
            <w:pPr>
              <w:spacing w:after="0" w:line="259" w:lineRule="auto"/>
              <w:jc w:val="left"/>
            </w:pPr>
            <w:r>
              <w:rPr>
                <w:rFonts w:ascii="Calibri" w:hAnsi="Calibri"/>
                <w:b w:val="0"/>
                <w:color w:val="1F2937"/>
                <w:sz w:val="19"/>
              </w:rPr>
              <w:t>Six story headlines are on one small page; no scripted paragraphs to memorize.</w:t>
            </w:r>
          </w:p>
        </w:tc>
      </w:tr>
      <w:tr>
        <w:trPr>
          <w:cantSplit w:val="true"/>
        </w:trPr>
        <w:tc>
          <w:tcPr>
            <w:tcW w:type="dxa" w:w="9360"/>
          </w:tcPr>
          <w:p>
            <w:pPr>
              <w:spacing w:after="0" w:line="259" w:lineRule="auto"/>
              <w:jc w:val="left"/>
            </w:pPr>
            <w:r>
              <w:rPr>
                <w:rFonts w:ascii="Calibri" w:hAnsi="Calibri"/>
                <w:b w:val="0"/>
                <w:color w:val="1F2937"/>
                <w:sz w:val="19"/>
              </w:rPr>
              <w:t>One primary and one backup question selected for each interviewer.</w:t>
            </w:r>
          </w:p>
        </w:tc>
      </w:tr>
      <w:tr>
        <w:trPr>
          <w:cantSplit w:val="true"/>
        </w:trPr>
        <w:tc>
          <w:tcPr>
            <w:tcW w:type="dxa" w:w="9360"/>
          </w:tcPr>
          <w:p>
            <w:pPr>
              <w:spacing w:after="0" w:line="259" w:lineRule="auto"/>
              <w:jc w:val="left"/>
            </w:pPr>
            <w:r>
              <w:rPr>
                <w:rFonts w:ascii="Calibri" w:hAnsi="Calibri"/>
                <w:b w:val="0"/>
                <w:color w:val="1F2937"/>
                <w:sz w:val="19"/>
              </w:rPr>
              <w:t>Water, ID, notebook, and a quiet 15-minute reset plan ready.</w:t>
            </w:r>
          </w:p>
        </w:tc>
      </w:tr>
    </w:tbl>
    <w:p>
      <w:pPr>
        <w:spacing w:before="0" w:after="40"/>
      </w:pPr>
    </w:p>
    <w:p>
      <w:pPr>
        <w:spacing w:before="100" w:after="160" w:line="283" w:lineRule="auto"/>
        <w:ind w:left="173" w:right="115"/>
        <w:shd w:fill="FFF8E8" w:val="clear"/>
        <w:pBdr>
          <w:left w:val="single" w:sz="18" w:space="8" w:color="7A5A00"/>
        </w:pBdr>
      </w:pPr>
      <w:r>
        <w:rPr>
          <w:rFonts w:ascii="Calibri" w:hAnsi="Calibri"/>
          <w:b/>
          <w:color w:val="7A5A00"/>
          <w:sz w:val="21"/>
        </w:rPr>
        <w:t xml:space="preserve">During the break  </w:t>
      </w:r>
      <w:r>
        <w:rPr>
          <w:rFonts w:ascii="Calibri" w:hAnsi="Calibri"/>
          <w:color w:val="1F2937"/>
          <w:sz w:val="21"/>
        </w:rPr>
        <w:t>Do not autopsy the first two rounds. Breathe, hydrate, write one line on any promised follow-up, and switch to human stories and curiosity.</w:t>
      </w:r>
    </w:p>
    <w:p>
      <w:pPr>
        <w:pStyle w:val="Heading1"/>
        <w:pageBreakBefore/>
      </w:pPr>
      <w:r>
        <w:t>10. Sources and confidence notes</w:t>
      </w:r>
    </w:p>
    <w:p>
      <w:pPr>
        <w:spacing w:after="120" w:line="300" w:lineRule="auto"/>
      </w:pPr>
      <w:r>
        <w:rPr>
          <w:rFonts w:ascii="Calibri" w:hAnsi="Calibri"/>
          <w:i w:val="0"/>
          <w:color w:val="1F2937"/>
          <w:sz w:val="22"/>
        </w:rPr>
        <w:t>Private sources are the most authoritative for your exact loop. Public reports are anecdotal. Official Ripple and SEC pages support company context. All web claims were checked as of July 20, 2026.</w:t>
      </w:r>
    </w:p>
    <w:p>
      <w:pPr>
        <w:pStyle w:val="Heading2"/>
      </w:pPr>
      <w:r>
        <w:t>Private email sources</w:t>
      </w:r>
    </w:p>
    <w:p>
      <w:pPr>
        <w:spacing w:after="80"/>
        <w:ind w:left="259" w:hanging="259"/>
      </w:pPr>
      <w:r>
        <w:rPr>
          <w:rFonts w:ascii="Calibri" w:hAnsi="Calibri"/>
          <w:b/>
          <w:color w:val="1F4D78"/>
          <w:sz w:val="18"/>
        </w:rPr>
        <w:t xml:space="preserve">E1  </w:t>
      </w:r>
      <w:r>
        <w:rPr>
          <w:rFonts w:ascii="Calibri" w:hAnsi="Calibri"/>
          <w:color w:val="1F2937"/>
          <w:sz w:val="18"/>
        </w:rPr>
        <w:t>Ripple calendar invitation and onsite confirmation - July 20, 2026</w:t>
      </w:r>
    </w:p>
    <w:p>
      <w:pPr>
        <w:spacing w:after="80"/>
        <w:ind w:left="259" w:hanging="259"/>
      </w:pPr>
      <w:r>
        <w:rPr>
          <w:rFonts w:ascii="Calibri" w:hAnsi="Calibri"/>
          <w:b/>
          <w:color w:val="1F4D78"/>
          <w:sz w:val="18"/>
        </w:rPr>
        <w:t xml:space="preserve">E2  </w:t>
      </w:r>
      <w:r>
        <w:rPr>
          <w:rFonts w:ascii="Calibri" w:hAnsi="Calibri"/>
          <w:color w:val="1F2937"/>
          <w:sz w:val="18"/>
        </w:rPr>
        <w:t>Onsite Interview Prep - external recruiter email - July 20, 2026</w:t>
      </w:r>
    </w:p>
    <w:p>
      <w:pPr>
        <w:spacing w:after="80"/>
        <w:ind w:left="259" w:hanging="259"/>
      </w:pPr>
      <w:r>
        <w:rPr>
          <w:rFonts w:ascii="Calibri" w:hAnsi="Calibri"/>
          <w:b/>
          <w:color w:val="1F4D78"/>
          <w:sz w:val="18"/>
        </w:rPr>
        <w:t xml:space="preserve">E3  </w:t>
      </w:r>
      <w:r>
        <w:rPr>
          <w:rFonts w:ascii="Calibri" w:hAnsi="Calibri"/>
          <w:color w:val="1F2937"/>
          <w:sz w:val="18"/>
        </w:rPr>
        <w:t>Interview Preparation Guide - Identity (Ripple attachment) - July 15, 2026</w:t>
      </w:r>
    </w:p>
    <w:p>
      <w:pPr>
        <w:spacing w:after="80"/>
        <w:ind w:left="259" w:hanging="259"/>
      </w:pPr>
      <w:r>
        <w:rPr>
          <w:rFonts w:ascii="Calibri" w:hAnsi="Calibri"/>
          <w:b/>
          <w:color w:val="1F4D78"/>
          <w:sz w:val="18"/>
        </w:rPr>
        <w:t xml:space="preserve">E4  </w:t>
      </w:r>
      <w:r>
        <w:rPr>
          <w:rFonts w:ascii="Calibri" w:hAnsi="Calibri"/>
          <w:color w:val="1F2937"/>
          <w:sz w:val="18"/>
        </w:rPr>
        <w:t>Candidate Experience Guide (Ripple attachment) - July 20, 2026</w:t>
      </w:r>
    </w:p>
    <w:p>
      <w:pPr>
        <w:spacing w:after="80"/>
        <w:ind w:left="259" w:hanging="259"/>
      </w:pPr>
      <w:r>
        <w:rPr>
          <w:rFonts w:ascii="Calibri" w:hAnsi="Calibri"/>
          <w:b/>
          <w:color w:val="1F4D78"/>
          <w:sz w:val="18"/>
        </w:rPr>
        <w:t xml:space="preserve">E5  </w:t>
      </w:r>
      <w:r>
        <w:rPr>
          <w:rFonts w:ascii="Calibri" w:hAnsi="Calibri"/>
          <w:color w:val="1F2937"/>
          <w:sz w:val="18"/>
        </w:rPr>
        <w:t>Senior Software Engineer - Identity &amp; Trust job description - recruiter attachment - June 22, 2026</w:t>
      </w:r>
    </w:p>
    <w:p>
      <w:pPr>
        <w:spacing w:after="80"/>
        <w:ind w:left="259" w:hanging="259"/>
      </w:pPr>
      <w:r>
        <w:rPr>
          <w:rFonts w:ascii="Calibri" w:hAnsi="Calibri"/>
          <w:b/>
          <w:color w:val="1F4D78"/>
          <w:sz w:val="18"/>
        </w:rPr>
        <w:t xml:space="preserve">E6  </w:t>
      </w:r>
      <w:r>
        <w:rPr>
          <w:rFonts w:ascii="Calibri" w:hAnsi="Calibri"/>
          <w:color w:val="1F2937"/>
          <w:sz w:val="18"/>
        </w:rPr>
        <w:t>Shyam Padia Resume June 2026 - sent to recruiter June 16, 2026</w:t>
      </w:r>
    </w:p>
    <w:p>
      <w:pPr>
        <w:spacing w:after="80"/>
        <w:ind w:left="259" w:hanging="259"/>
      </w:pPr>
      <w:r>
        <w:rPr>
          <w:rFonts w:ascii="Calibri" w:hAnsi="Calibri"/>
          <w:b/>
          <w:color w:val="1F4D78"/>
          <w:sz w:val="18"/>
        </w:rPr>
        <w:t xml:space="preserve">E7  </w:t>
      </w:r>
      <w:r>
        <w:rPr>
          <w:rFonts w:ascii="Calibri" w:hAnsi="Calibri"/>
          <w:color w:val="1F2937"/>
          <w:sz w:val="18"/>
        </w:rPr>
        <w:t>Coding and hiring-manager prep emails - external recruiter - July 6 and July 10, 2026</w:t>
      </w:r>
    </w:p>
    <w:p>
      <w:pPr>
        <w:pStyle w:val="Heading2"/>
      </w:pPr>
      <w:r>
        <w:t>Official company, product, role, and technical sources</w:t>
      </w:r>
    </w:p>
    <w:p>
      <w:pPr>
        <w:spacing w:after="80"/>
        <w:ind w:left="259" w:hanging="259"/>
      </w:pPr>
      <w:r>
        <w:rPr>
          <w:rFonts w:ascii="Calibri" w:hAnsi="Calibri"/>
          <w:b/>
          <w:color w:val="1F4D78"/>
          <w:sz w:val="18"/>
        </w:rPr>
        <w:t xml:space="preserve">O1  </w:t>
      </w:r>
      <w:hyperlink r:id="rId13">
        <w:r>
          <w:rPr>
            <w:rFonts w:ascii="Calibri" w:hAnsi="Calibri"/>
            <w:color w:val="2E74B5"/>
            <w:u w:val="single"/>
          </w:rPr>
          <w:t>Identity &amp; Trust role listing</w:t>
        </w:r>
      </w:hyperlink>
      <w:r>
        <w:rPr>
          <w:rFonts w:ascii="Calibri" w:hAnsi="Calibri"/>
          <w:color w:val="5F6B7A"/>
          <w:sz w:val="18"/>
        </w:rPr>
        <w:t xml:space="preserve"> - Exact role mission and stack.</w:t>
      </w:r>
    </w:p>
    <w:p>
      <w:pPr>
        <w:spacing w:after="80"/>
        <w:ind w:left="259" w:hanging="259"/>
      </w:pPr>
      <w:r>
        <w:rPr>
          <w:rFonts w:ascii="Calibri" w:hAnsi="Calibri"/>
          <w:b/>
          <w:color w:val="1F4D78"/>
          <w:sz w:val="18"/>
        </w:rPr>
        <w:t xml:space="preserve">O2  </w:t>
      </w:r>
      <w:hyperlink r:id="rId14">
        <w:r>
          <w:rPr>
            <w:rFonts w:ascii="Calibri" w:hAnsi="Calibri"/>
            <w:color w:val="2E74B5"/>
            <w:u w:val="single"/>
          </w:rPr>
          <w:t>Ripple company overview</w:t>
        </w:r>
      </w:hyperlink>
      <w:r>
        <w:rPr>
          <w:rFonts w:ascii="Calibri" w:hAnsi="Calibri"/>
          <w:color w:val="5F6B7A"/>
          <w:sz w:val="18"/>
        </w:rPr>
        <w:t xml:space="preserve"> - Mission and company footprint.</w:t>
      </w:r>
    </w:p>
    <w:p>
      <w:pPr>
        <w:spacing w:after="80"/>
        <w:ind w:left="259" w:hanging="259"/>
      </w:pPr>
      <w:r>
        <w:rPr>
          <w:rFonts w:ascii="Calibri" w:hAnsi="Calibri"/>
          <w:b/>
          <w:color w:val="1F4D78"/>
          <w:sz w:val="18"/>
        </w:rPr>
        <w:t xml:space="preserve">O3  </w:t>
      </w:r>
      <w:hyperlink r:id="rId15">
        <w:r>
          <w:rPr>
            <w:rFonts w:ascii="Calibri" w:hAnsi="Calibri"/>
            <w:color w:val="2E74B5"/>
            <w:u w:val="single"/>
          </w:rPr>
          <w:t>Ripple Engineering</w:t>
        </w:r>
      </w:hyperlink>
      <w:r>
        <w:rPr>
          <w:rFonts w:ascii="Calibri" w:hAnsi="Calibri"/>
          <w:color w:val="5F6B7A"/>
          <w:sz w:val="18"/>
        </w:rPr>
        <w:t xml:space="preserve"> - Engineering culture; crypto background not required.</w:t>
      </w:r>
    </w:p>
    <w:p>
      <w:pPr>
        <w:spacing w:after="80"/>
        <w:ind w:left="259" w:hanging="259"/>
      </w:pPr>
      <w:r>
        <w:rPr>
          <w:rFonts w:ascii="Calibri" w:hAnsi="Calibri"/>
          <w:b/>
          <w:color w:val="1F4D78"/>
          <w:sz w:val="18"/>
        </w:rPr>
        <w:t xml:space="preserve">O4  </w:t>
      </w:r>
      <w:hyperlink r:id="rId16">
        <w:r>
          <w:rPr>
            <w:rFonts w:ascii="Calibri" w:hAnsi="Calibri"/>
            <w:color w:val="2E74B5"/>
            <w:u w:val="single"/>
          </w:rPr>
          <w:t>Ripple Life / LEGGOS values</w:t>
        </w:r>
      </w:hyperlink>
      <w:r>
        <w:rPr>
          <w:rFonts w:ascii="Calibri" w:hAnsi="Calibri"/>
          <w:color w:val="5F6B7A"/>
          <w:sz w:val="18"/>
        </w:rPr>
        <w:t xml:space="preserve"> - Official values.</w:t>
      </w:r>
    </w:p>
    <w:p>
      <w:pPr>
        <w:spacing w:after="80"/>
        <w:ind w:left="259" w:hanging="259"/>
      </w:pPr>
      <w:r>
        <w:rPr>
          <w:rFonts w:ascii="Calibri" w:hAnsi="Calibri"/>
          <w:b/>
          <w:color w:val="1F4D78"/>
          <w:sz w:val="18"/>
        </w:rPr>
        <w:t xml:space="preserve">O5  </w:t>
      </w:r>
      <w:hyperlink r:id="rId17">
        <w:r>
          <w:rPr>
            <w:rFonts w:ascii="Calibri" w:hAnsi="Calibri"/>
            <w:color w:val="2E74B5"/>
            <w:u w:val="single"/>
          </w:rPr>
          <w:t>Cross-border Payments</w:t>
        </w:r>
      </w:hyperlink>
      <w:r>
        <w:rPr>
          <w:rFonts w:ascii="Calibri" w:hAnsi="Calibri"/>
          <w:color w:val="5F6B7A"/>
          <w:sz w:val="18"/>
        </w:rPr>
        <w:t xml:space="preserve"> - Payments product and domain grounding.</w:t>
      </w:r>
    </w:p>
    <w:p>
      <w:pPr>
        <w:spacing w:after="80"/>
        <w:ind w:left="259" w:hanging="259"/>
      </w:pPr>
      <w:r>
        <w:rPr>
          <w:rFonts w:ascii="Calibri" w:hAnsi="Calibri"/>
          <w:b/>
          <w:color w:val="1F4D78"/>
          <w:sz w:val="18"/>
        </w:rPr>
        <w:t xml:space="preserve">O6  </w:t>
      </w:r>
      <w:hyperlink r:id="rId18">
        <w:r>
          <w:rPr>
            <w:rFonts w:ascii="Calibri" w:hAnsi="Calibri"/>
            <w:color w:val="2E74B5"/>
            <w:u w:val="single"/>
          </w:rPr>
          <w:t>Digital Asset Custody</w:t>
        </w:r>
      </w:hyperlink>
      <w:r>
        <w:rPr>
          <w:rFonts w:ascii="Calibri" w:hAnsi="Calibri"/>
          <w:color w:val="5F6B7A"/>
          <w:sz w:val="18"/>
        </w:rPr>
        <w:t xml:space="preserve"> - Custody and control concepts.</w:t>
      </w:r>
    </w:p>
    <w:p>
      <w:pPr>
        <w:spacing w:after="80"/>
        <w:ind w:left="259" w:hanging="259"/>
      </w:pPr>
      <w:r>
        <w:rPr>
          <w:rFonts w:ascii="Calibri" w:hAnsi="Calibri"/>
          <w:b/>
          <w:color w:val="1F4D78"/>
          <w:sz w:val="18"/>
        </w:rPr>
        <w:t xml:space="preserve">O7  </w:t>
      </w:r>
      <w:hyperlink r:id="rId19">
        <w:r>
          <w:rPr>
            <w:rFonts w:ascii="Calibri" w:hAnsi="Calibri"/>
            <w:color w:val="2E74B5"/>
            <w:u w:val="single"/>
          </w:rPr>
          <w:t>RLUSD</w:t>
        </w:r>
      </w:hyperlink>
      <w:r>
        <w:rPr>
          <w:rFonts w:ascii="Calibri" w:hAnsi="Calibri"/>
          <w:color w:val="5F6B7A"/>
          <w:sz w:val="18"/>
        </w:rPr>
        <w:t xml:space="preserve"> - Stablecoin product.</w:t>
      </w:r>
    </w:p>
    <w:p>
      <w:pPr>
        <w:spacing w:after="80"/>
        <w:ind w:left="259" w:hanging="259"/>
      </w:pPr>
      <w:r>
        <w:rPr>
          <w:rFonts w:ascii="Calibri" w:hAnsi="Calibri"/>
          <w:b/>
          <w:color w:val="1F4D78"/>
          <w:sz w:val="18"/>
        </w:rPr>
        <w:t xml:space="preserve">O8  </w:t>
      </w:r>
      <w:hyperlink r:id="rId20">
        <w:r>
          <w:rPr>
            <w:rFonts w:ascii="Calibri" w:hAnsi="Calibri"/>
            <w:color w:val="2E74B5"/>
            <w:u w:val="single"/>
          </w:rPr>
          <w:t>Ripple Prime</w:t>
        </w:r>
      </w:hyperlink>
      <w:r>
        <w:rPr>
          <w:rFonts w:ascii="Calibri" w:hAnsi="Calibri"/>
          <w:color w:val="5F6B7A"/>
          <w:sz w:val="18"/>
        </w:rPr>
        <w:t xml:space="preserve"> - Prime brokerage product.</w:t>
      </w:r>
    </w:p>
    <w:p>
      <w:pPr>
        <w:spacing w:after="80"/>
        <w:ind w:left="259" w:hanging="259"/>
      </w:pPr>
      <w:r>
        <w:rPr>
          <w:rFonts w:ascii="Calibri" w:hAnsi="Calibri"/>
          <w:b/>
          <w:color w:val="1F4D78"/>
          <w:sz w:val="18"/>
        </w:rPr>
        <w:t xml:space="preserve">O9  </w:t>
      </w:r>
      <w:hyperlink r:id="rId21">
        <w:r>
          <w:rPr>
            <w:rFonts w:ascii="Calibri" w:hAnsi="Calibri"/>
            <w:color w:val="2E74B5"/>
            <w:u w:val="single"/>
          </w:rPr>
          <w:t>Ripple Treasury</w:t>
        </w:r>
      </w:hyperlink>
      <w:r>
        <w:rPr>
          <w:rFonts w:ascii="Calibri" w:hAnsi="Calibri"/>
          <w:color w:val="5F6B7A"/>
          <w:sz w:val="18"/>
        </w:rPr>
        <w:t xml:space="preserve"> - Treasury product.</w:t>
      </w:r>
    </w:p>
    <w:p>
      <w:pPr>
        <w:spacing w:after="80"/>
        <w:ind w:left="259" w:hanging="259"/>
      </w:pPr>
      <w:r>
        <w:rPr>
          <w:rFonts w:ascii="Calibri" w:hAnsi="Calibri"/>
          <w:b/>
          <w:color w:val="1F4D78"/>
          <w:sz w:val="18"/>
        </w:rPr>
        <w:t xml:space="preserve">O10  </w:t>
      </w:r>
      <w:hyperlink r:id="rId22">
        <w:r>
          <w:rPr>
            <w:rFonts w:ascii="Calibri" w:hAnsi="Calibri"/>
            <w:color w:val="2E74B5"/>
            <w:u w:val="single"/>
          </w:rPr>
          <w:t>Ripple FAQ</w:t>
        </w:r>
      </w:hyperlink>
      <w:r>
        <w:rPr>
          <w:rFonts w:ascii="Calibri" w:hAnsi="Calibri"/>
          <w:color w:val="5F6B7A"/>
          <w:sz w:val="18"/>
        </w:rPr>
        <w:t xml:space="preserve"> - Ripple/XRP/XRPL distinctions.</w:t>
      </w:r>
    </w:p>
    <w:p>
      <w:pPr>
        <w:spacing w:after="80"/>
        <w:ind w:left="259" w:hanging="259"/>
      </w:pPr>
      <w:r>
        <w:rPr>
          <w:rFonts w:ascii="Calibri" w:hAnsi="Calibri"/>
          <w:b/>
          <w:color w:val="1F4D78"/>
          <w:sz w:val="18"/>
        </w:rPr>
        <w:t xml:space="preserve">O11  </w:t>
      </w:r>
      <w:hyperlink r:id="rId23">
        <w:r>
          <w:rPr>
            <w:rFonts w:ascii="Calibri" w:hAnsi="Calibri"/>
            <w:color w:val="2E74B5"/>
            <w:u w:val="single"/>
          </w:rPr>
          <w:t>XRPL FAQ</w:t>
        </w:r>
      </w:hyperlink>
      <w:r>
        <w:rPr>
          <w:rFonts w:ascii="Calibri" w:hAnsi="Calibri"/>
          <w:color w:val="5F6B7A"/>
          <w:sz w:val="18"/>
        </w:rPr>
        <w:t xml:space="preserve"> - Open-source network and XRP concepts.</w:t>
      </w:r>
    </w:p>
    <w:p>
      <w:pPr>
        <w:spacing w:after="80"/>
        <w:ind w:left="259" w:hanging="259"/>
      </w:pPr>
      <w:r>
        <w:rPr>
          <w:rFonts w:ascii="Calibri" w:hAnsi="Calibri"/>
          <w:b/>
          <w:color w:val="1F4D78"/>
          <w:sz w:val="18"/>
        </w:rPr>
        <w:t xml:space="preserve">O12  </w:t>
      </w:r>
      <w:hyperlink r:id="rId24">
        <w:r>
          <w:rPr>
            <w:rFonts w:ascii="Calibri" w:hAnsi="Calibri"/>
            <w:color w:val="2E74B5"/>
            <w:u w:val="single"/>
          </w:rPr>
          <w:t>Identity Platform manager role</w:t>
        </w:r>
      </w:hyperlink>
      <w:r>
        <w:rPr>
          <w:rFonts w:ascii="Calibri" w:hAnsi="Calibri"/>
          <w:color w:val="5F6B7A"/>
          <w:sz w:val="18"/>
        </w:rPr>
        <w:t xml:space="preserve"> - Adjacent organization and Persona vendor clue.</w:t>
      </w:r>
    </w:p>
    <w:p>
      <w:pPr>
        <w:spacing w:after="80"/>
        <w:ind w:left="259" w:hanging="259"/>
      </w:pPr>
      <w:r>
        <w:rPr>
          <w:rFonts w:ascii="Calibri" w:hAnsi="Calibri"/>
          <w:b/>
          <w:color w:val="1F4D78"/>
          <w:sz w:val="18"/>
        </w:rPr>
        <w:t xml:space="preserve">O13  </w:t>
      </w:r>
      <w:hyperlink r:id="rId25">
        <w:r>
          <w:rPr>
            <w:rFonts w:ascii="Calibri" w:hAnsi="Calibri"/>
            <w:color w:val="2E74B5"/>
            <w:u w:val="single"/>
          </w:rPr>
          <w:t>Authentication &amp; Authorization role</w:t>
        </w:r>
      </w:hyperlink>
      <w:r>
        <w:rPr>
          <w:rFonts w:ascii="Calibri" w:hAnsi="Calibri"/>
          <w:color w:val="5F6B7A"/>
          <w:sz w:val="18"/>
        </w:rPr>
        <w:t xml:space="preserve"> - Adjacent AuthN/AuthZ boundary and policy approaches.</w:t>
      </w:r>
    </w:p>
    <w:p>
      <w:pPr>
        <w:spacing w:after="80"/>
        <w:ind w:left="259" w:hanging="259"/>
      </w:pPr>
      <w:r>
        <w:rPr>
          <w:rFonts w:ascii="Calibri" w:hAnsi="Calibri"/>
          <w:b/>
          <w:color w:val="1F4D78"/>
          <w:sz w:val="18"/>
        </w:rPr>
        <w:t xml:space="preserve">O14  </w:t>
      </w:r>
      <w:hyperlink r:id="rId26">
        <w:r>
          <w:rPr>
            <w:rFonts w:ascii="Calibri" w:hAnsi="Calibri"/>
            <w:color w:val="2E74B5"/>
            <w:u w:val="single"/>
          </w:rPr>
          <w:t>Ripple payment identities documentation</w:t>
        </w:r>
      </w:hyperlink>
      <w:r>
        <w:rPr>
          <w:rFonts w:ascii="Calibri" w:hAnsi="Calibri"/>
          <w:color w:val="5F6B7A"/>
          <w:sz w:val="18"/>
        </w:rPr>
        <w:t xml:space="preserve"> - Public product identity vocabulary; not the proposed platform's internal design.</w:t>
      </w:r>
    </w:p>
    <w:p>
      <w:pPr>
        <w:spacing w:after="80"/>
        <w:ind w:left="259" w:hanging="259"/>
      </w:pPr>
      <w:r>
        <w:rPr>
          <w:rFonts w:ascii="Calibri" w:hAnsi="Calibri"/>
          <w:b/>
          <w:color w:val="1F4D78"/>
          <w:sz w:val="18"/>
        </w:rPr>
        <w:t xml:space="preserve">O15  </w:t>
      </w:r>
      <w:hyperlink r:id="rId27">
        <w:r>
          <w:rPr>
            <w:rFonts w:ascii="Calibri" w:hAnsi="Calibri"/>
            <w:color w:val="2E74B5"/>
            <w:u w:val="single"/>
          </w:rPr>
          <w:t>SEC litigation release - August 7, 2025</w:t>
        </w:r>
      </w:hyperlink>
      <w:r>
        <w:rPr>
          <w:rFonts w:ascii="Calibri" w:hAnsi="Calibri"/>
          <w:color w:val="5F6B7A"/>
          <w:sz w:val="18"/>
        </w:rPr>
        <w:t xml:space="preserve"> - Appeals dismissed; penalty/injunction remained.</w:t>
      </w:r>
    </w:p>
    <w:p>
      <w:pPr>
        <w:spacing w:after="80"/>
        <w:ind w:left="259" w:hanging="259"/>
      </w:pPr>
      <w:r>
        <w:rPr>
          <w:rFonts w:ascii="Calibri" w:hAnsi="Calibri"/>
          <w:b/>
          <w:color w:val="1F4D78"/>
          <w:sz w:val="18"/>
        </w:rPr>
        <w:t xml:space="preserve">O16  </w:t>
      </w:r>
      <w:hyperlink r:id="rId28">
        <w:r>
          <w:rPr>
            <w:rFonts w:ascii="Calibri" w:hAnsi="Calibri"/>
            <w:color w:val="2E74B5"/>
            <w:u w:val="single"/>
          </w:rPr>
          <w:t>Ripple one-stop digital-asset infrastructure strategy</w:t>
        </w:r>
      </w:hyperlink>
      <w:r>
        <w:rPr>
          <w:rFonts w:ascii="Calibri" w:hAnsi="Calibri"/>
          <w:color w:val="5F6B7A"/>
          <w:sz w:val="18"/>
        </w:rPr>
        <w:t xml:space="preserve"> - Portfolio strategy.</w:t>
      </w:r>
    </w:p>
    <w:p>
      <w:pPr>
        <w:spacing w:after="80"/>
        <w:ind w:left="259" w:hanging="259"/>
      </w:pPr>
      <w:r>
        <w:rPr>
          <w:rFonts w:ascii="Calibri" w:hAnsi="Calibri"/>
          <w:b/>
          <w:color w:val="1F4D78"/>
          <w:sz w:val="18"/>
        </w:rPr>
        <w:t xml:space="preserve">O17  </w:t>
      </w:r>
      <w:hyperlink r:id="rId29">
        <w:r>
          <w:rPr>
            <w:rFonts w:ascii="Calibri" w:hAnsi="Calibri"/>
            <w:color w:val="2E74B5"/>
            <w:u w:val="single"/>
          </w:rPr>
          <w:t>Ripple EU MiCA CASP license - July 6, 2026</w:t>
        </w:r>
      </w:hyperlink>
      <w:r>
        <w:rPr>
          <w:rFonts w:ascii="Calibri" w:hAnsi="Calibri"/>
          <w:color w:val="5F6B7A"/>
          <w:sz w:val="18"/>
        </w:rPr>
        <w:t xml:space="preserve"> - Recent regulatory expansion.</w:t>
      </w:r>
    </w:p>
    <w:p>
      <w:pPr>
        <w:pStyle w:val="Heading2"/>
      </w:pPr>
      <w:r>
        <w:t>Public interview reports - anecdotal</w:t>
      </w:r>
    </w:p>
    <w:p>
      <w:pPr>
        <w:spacing w:after="80"/>
        <w:ind w:left="259" w:hanging="259"/>
      </w:pPr>
      <w:r>
        <w:rPr>
          <w:rFonts w:ascii="Calibri" w:hAnsi="Calibri"/>
          <w:b/>
          <w:color w:val="1F4D78"/>
          <w:sz w:val="18"/>
        </w:rPr>
        <w:t xml:space="preserve">R1  </w:t>
      </w:r>
      <w:hyperlink r:id="rId30">
        <w:r>
          <w:rPr>
            <w:rFonts w:ascii="Calibri" w:hAnsi="Calibri"/>
            <w:color w:val="2E74B5"/>
            <w:u w:val="single"/>
          </w:rPr>
          <w:t>Glassdoor - Ripple Software Engineer interviews</w:t>
        </w:r>
      </w:hyperlink>
      <w:r>
        <w:rPr>
          <w:rFonts w:ascii="Calibri" w:hAnsi="Calibri"/>
          <w:color w:val="5F6B7A"/>
          <w:sz w:val="18"/>
        </w:rPr>
        <w:t xml:space="preserve"> - Recent process/behavioral reports; may require login.</w:t>
      </w:r>
    </w:p>
    <w:p>
      <w:pPr>
        <w:spacing w:after="80"/>
        <w:ind w:left="259" w:hanging="259"/>
      </w:pPr>
      <w:r>
        <w:rPr>
          <w:rFonts w:ascii="Calibri" w:hAnsi="Calibri"/>
          <w:b/>
          <w:color w:val="1F4D78"/>
          <w:sz w:val="18"/>
        </w:rPr>
        <w:t xml:space="preserve">R2  </w:t>
      </w:r>
      <w:hyperlink r:id="rId31">
        <w:r>
          <w:rPr>
            <w:rFonts w:ascii="Calibri" w:hAnsi="Calibri"/>
            <w:color w:val="2E74B5"/>
            <w:u w:val="single"/>
          </w:rPr>
          <w:t>Glassdoor - Ripple Senior Software Engineer interviews</w:t>
        </w:r>
      </w:hyperlink>
      <w:r>
        <w:rPr>
          <w:rFonts w:ascii="Calibri" w:hAnsi="Calibri"/>
          <w:color w:val="5F6B7A"/>
          <w:sz w:val="18"/>
        </w:rPr>
        <w:t xml:space="preserve"> - Weighted conversion graph report.</w:t>
      </w:r>
    </w:p>
    <w:p>
      <w:pPr>
        <w:spacing w:after="80"/>
        <w:ind w:left="259" w:hanging="259"/>
      </w:pPr>
      <w:r>
        <w:rPr>
          <w:rFonts w:ascii="Calibri" w:hAnsi="Calibri"/>
          <w:b/>
          <w:color w:val="1F4D78"/>
          <w:sz w:val="18"/>
        </w:rPr>
        <w:t xml:space="preserve">R3  </w:t>
      </w:r>
      <w:hyperlink r:id="rId32">
        <w:r>
          <w:rPr>
            <w:rFonts w:ascii="Calibri" w:hAnsi="Calibri"/>
            <w:color w:val="2E74B5"/>
            <w:u w:val="single"/>
          </w:rPr>
          <w:t>Glassdoor - design a payment system</w:t>
        </w:r>
      </w:hyperlink>
      <w:r>
        <w:rPr>
          <w:rFonts w:ascii="Calibri" w:hAnsi="Calibri"/>
          <w:color w:val="5F6B7A"/>
          <w:sz w:val="18"/>
        </w:rPr>
        <w:t xml:space="preserve"> - Direct reported design prompt.</w:t>
      </w:r>
    </w:p>
    <w:p>
      <w:pPr>
        <w:spacing w:after="80"/>
        <w:ind w:left="259" w:hanging="259"/>
      </w:pPr>
      <w:r>
        <w:rPr>
          <w:rFonts w:ascii="Calibri" w:hAnsi="Calibri"/>
          <w:b/>
          <w:color w:val="1F4D78"/>
          <w:sz w:val="18"/>
        </w:rPr>
        <w:t xml:space="preserve">R4  </w:t>
      </w:r>
      <w:hyperlink r:id="rId33">
        <w:r>
          <w:rPr>
            <w:rFonts w:ascii="Calibri" w:hAnsi="Calibri"/>
            <w:color w:val="2E74B5"/>
            <w:u w:val="single"/>
          </w:rPr>
          <w:t>LeetCode Discuss - Ripple Tic-Tac-Toe phone screen</w:t>
        </w:r>
      </w:hyperlink>
      <w:r>
        <w:rPr>
          <w:rFonts w:ascii="Calibri" w:hAnsi="Calibri"/>
          <w:color w:val="5F6B7A"/>
          <w:sz w:val="18"/>
        </w:rPr>
        <w:t xml:space="preserve"> - Firsthand 2021 low-level design report.</w:t>
      </w:r>
    </w:p>
    <w:p>
      <w:pPr>
        <w:spacing w:after="80"/>
        <w:ind w:left="259" w:hanging="259"/>
      </w:pPr>
      <w:r>
        <w:rPr>
          <w:rFonts w:ascii="Calibri" w:hAnsi="Calibri"/>
          <w:b/>
          <w:color w:val="1F4D78"/>
          <w:sz w:val="18"/>
        </w:rPr>
        <w:t xml:space="preserve">R5  </w:t>
      </w:r>
      <w:hyperlink r:id="rId34">
        <w:r>
          <w:rPr>
            <w:rFonts w:ascii="Calibri" w:hAnsi="Calibri"/>
            <w:color w:val="2E74B5"/>
            <w:u w:val="single"/>
          </w:rPr>
          <w:t>Glassdoor - most frequent element in a string</w:t>
        </w:r>
      </w:hyperlink>
      <w:r>
        <w:rPr>
          <w:rFonts w:ascii="Calibri" w:hAnsi="Calibri"/>
          <w:color w:val="5F6B7A"/>
          <w:sz w:val="18"/>
        </w:rPr>
        <w:t xml:space="preserve"> - Direct 2021 coding report.</w:t>
      </w:r>
    </w:p>
    <w:p>
      <w:pPr>
        <w:spacing w:after="80"/>
        <w:ind w:left="259" w:hanging="259"/>
      </w:pPr>
      <w:r>
        <w:rPr>
          <w:rFonts w:ascii="Calibri" w:hAnsi="Calibri"/>
          <w:b/>
          <w:color w:val="1F4D78"/>
          <w:sz w:val="18"/>
        </w:rPr>
        <w:t xml:space="preserve">R6  </w:t>
      </w:r>
      <w:hyperlink r:id="rId35">
        <w:r>
          <w:rPr>
            <w:rFonts w:ascii="Calibri" w:hAnsi="Calibri"/>
            <w:color w:val="2E74B5"/>
            <w:u w:val="single"/>
          </w:rPr>
          <w:t>Glassdoor - Ripple Staff Software Engineer interviews</w:t>
        </w:r>
      </w:hyperlink>
      <w:r>
        <w:rPr>
          <w:rFonts w:ascii="Calibri" w:hAnsi="Calibri"/>
          <w:color w:val="5F6B7A"/>
          <w:sz w:val="18"/>
        </w:rPr>
        <w:t xml:space="preserve"> - Stock update/statistics report; different level.</w:t>
      </w:r>
    </w:p>
    <w:p>
      <w:pPr>
        <w:spacing w:after="80"/>
        <w:ind w:left="259" w:hanging="259"/>
      </w:pPr>
      <w:r>
        <w:rPr>
          <w:rFonts w:ascii="Calibri" w:hAnsi="Calibri"/>
          <w:b/>
          <w:color w:val="1F4D78"/>
          <w:sz w:val="18"/>
        </w:rPr>
        <w:t xml:space="preserve">R7  </w:t>
      </w:r>
      <w:hyperlink r:id="rId36">
        <w:r>
          <w:rPr>
            <w:rFonts w:ascii="Calibri" w:hAnsi="Calibri"/>
            <w:color w:val="2E74B5"/>
            <w:u w:val="single"/>
          </w:rPr>
          <w:t>1Point3Acres - Senior Staff Ripple report</w:t>
        </w:r>
      </w:hyperlink>
      <w:r>
        <w:rPr>
          <w:rFonts w:ascii="Calibri" w:hAnsi="Calibri"/>
          <w:color w:val="5F6B7A"/>
          <w:sz w:val="18"/>
        </w:rPr>
        <w:t xml:space="preserve"> - Project, conflict, mentoring, PM disagreement; partly paywalled.</w:t>
      </w:r>
    </w:p>
    <w:p>
      <w:pPr>
        <w:spacing w:after="80"/>
        <w:ind w:left="259" w:hanging="259"/>
      </w:pPr>
      <w:r>
        <w:rPr>
          <w:rFonts w:ascii="Calibri" w:hAnsi="Calibri"/>
          <w:b/>
          <w:color w:val="1F4D78"/>
          <w:sz w:val="18"/>
        </w:rPr>
        <w:t xml:space="preserve">R8  </w:t>
      </w:r>
      <w:hyperlink r:id="rId37">
        <w:r>
          <w:rPr>
            <w:rFonts w:ascii="Calibri" w:hAnsi="Calibri"/>
            <w:color w:val="2E74B5"/>
            <w:u w:val="single"/>
          </w:rPr>
          <w:t>1Point3Acres - March 2026 Ripple SWE report</w:t>
        </w:r>
      </w:hyperlink>
      <w:r>
        <w:rPr>
          <w:rFonts w:ascii="Calibri" w:hAnsi="Calibri"/>
          <w:color w:val="5F6B7A"/>
          <w:sz w:val="18"/>
        </w:rPr>
        <w:t xml:space="preserve"> - Order-book report; public preview may be restricted.</w:t>
      </w:r>
    </w:p>
    <w:p>
      <w:pPr>
        <w:spacing w:after="80"/>
        <w:ind w:left="259" w:hanging="259"/>
      </w:pPr>
      <w:r>
        <w:rPr>
          <w:rFonts w:ascii="Calibri" w:hAnsi="Calibri"/>
          <w:b/>
          <w:color w:val="1F4D78"/>
          <w:sz w:val="18"/>
        </w:rPr>
        <w:t xml:space="preserve">R9  </w:t>
      </w:r>
      <w:hyperlink r:id="rId38">
        <w:r>
          <w:rPr>
            <w:rFonts w:ascii="Calibri" w:hAnsi="Calibri"/>
            <w:color w:val="2E74B5"/>
            <w:u w:val="single"/>
          </w:rPr>
          <w:t>Exponent - Ripple SWE questions</w:t>
        </w:r>
      </w:hyperlink>
      <w:r>
        <w:rPr>
          <w:rFonts w:ascii="Calibri" w:hAnsi="Calibri"/>
          <w:color w:val="5F6B7A"/>
          <w:sz w:val="18"/>
        </w:rPr>
        <w:t xml:space="preserve"> - Aggregator; LRU cache; lower confidence.</w:t>
      </w:r>
    </w:p>
    <w:p>
      <w:pPr>
        <w:spacing w:after="80"/>
        <w:ind w:left="259" w:hanging="259"/>
      </w:pPr>
      <w:r>
        <w:rPr>
          <w:rFonts w:ascii="Calibri" w:hAnsi="Calibri"/>
          <w:b/>
          <w:color w:val="1F4D78"/>
          <w:sz w:val="18"/>
        </w:rPr>
        <w:t xml:space="preserve">R10  </w:t>
      </w:r>
      <w:hyperlink r:id="rId39">
        <w:r>
          <w:rPr>
            <w:rFonts w:ascii="Calibri" w:hAnsi="Calibri"/>
            <w:color w:val="2E74B5"/>
            <w:u w:val="single"/>
          </w:rPr>
          <w:t>Jointaro - 2018 Ripple interview experience</w:t>
        </w:r>
      </w:hyperlink>
      <w:r>
        <w:rPr>
          <w:rFonts w:ascii="Calibri" w:hAnsi="Calibri"/>
          <w:color w:val="5F6B7A"/>
          <w:sz w:val="18"/>
        </w:rPr>
        <w:t xml:space="preserve"> - Old blockchain/motivation report.</w:t>
      </w:r>
    </w:p>
    <w:p>
      <w:pPr>
        <w:spacing w:before="100" w:after="160" w:line="283" w:lineRule="auto"/>
        <w:ind w:left="173" w:right="115"/>
        <w:shd w:fill="FDECEC" w:val="clear"/>
        <w:pBdr>
          <w:left w:val="single" w:sz="18" w:space="8" w:color="9B1C1C"/>
        </w:pBdr>
      </w:pPr>
      <w:r>
        <w:rPr>
          <w:rFonts w:ascii="Calibri" w:hAnsi="Calibri"/>
          <w:b/>
          <w:color w:val="9B1C1C"/>
          <w:sz w:val="21"/>
        </w:rPr>
        <w:t xml:space="preserve">Confidence rule  </w:t>
      </w:r>
      <w:r>
        <w:rPr>
          <w:rFonts w:ascii="Calibri" w:hAnsi="Calibri"/>
          <w:color w:val="1F2937"/>
          <w:sz w:val="21"/>
        </w:rPr>
        <w:t>If a public report conflicts with the current Ripple email or role packet, follow the current official material.</w:t>
      </w:r>
    </w:p>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6"/>
      </w:rPr>
      <w:t xml:space="preserve">Private interview preparation  |  Page </w:t>
    </w:r>
    <w:r>
      <w:rPr>
        <w:rFonts w:ascii="Calibri" w:hAnsi="Calibri"/>
        <w:color w:val="5F6B7A"/>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6"/>
      </w:rPr>
      <w:t xml:space="preserve">Private interview preparation  |  Page </w:t>
    </w:r>
    <w:r>
      <w:rPr>
        <w:rFonts w:ascii="Calibri" w:hAnsi="Calibri"/>
        <w:color w:val="5F6B7A"/>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A"/>
        <w:sz w:val="16"/>
      </w:rPr>
      <w:t>RIPPLE ONSITE PREP   |   SENIOR SOFTWARE ENGINEER, IDENTITY &amp; TRUST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A"/>
        <w:sz w:val="16"/>
      </w:rPr>
      <w:t>RIPPLE ONSITE PREP   |   SENIOR SOFTWARE ENGINEER, IDENTITY &amp;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680"/>
        </w:tabs>
        <w:ind w:left="680" w:hanging="360"/>
        <w:spacing w:after="80" w:line="30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680"/>
        </w:tabs>
        <w:ind w:left="680" w:hanging="360"/>
        <w:spacing w:after="80" w:line="300" w:lineRule="auto"/>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Calibri" w:hAnsi="Calibri"/>
      <w:i w:val="0"/>
      <w:iCs/>
      <w:color w:val="5F6B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ripple.com/careers/all-jobs/job/7976291/?gh_jid=7976291" TargetMode="External"/><Relationship Id="rId14" Type="http://schemas.openxmlformats.org/officeDocument/2006/relationships/hyperlink" Target="https://ripple.com/company/" TargetMode="External"/><Relationship Id="rId15" Type="http://schemas.openxmlformats.org/officeDocument/2006/relationships/hyperlink" Target="https://ripple.com/careers/engineering/" TargetMode="External"/><Relationship Id="rId16" Type="http://schemas.openxmlformats.org/officeDocument/2006/relationships/hyperlink" Target="https://ripple.com/careers/ripplelife/" TargetMode="External"/><Relationship Id="rId17" Type="http://schemas.openxmlformats.org/officeDocument/2006/relationships/hyperlink" Target="https://ripple.com/solutions/cross-border-payments/" TargetMode="External"/><Relationship Id="rId18" Type="http://schemas.openxmlformats.org/officeDocument/2006/relationships/hyperlink" Target="https://ripple.com/solutions/digital-asset-custody/" TargetMode="External"/><Relationship Id="rId19" Type="http://schemas.openxmlformats.org/officeDocument/2006/relationships/hyperlink" Target="https://ripple.com/solutions/stablecoin/" TargetMode="External"/><Relationship Id="rId20" Type="http://schemas.openxmlformats.org/officeDocument/2006/relationships/hyperlink" Target="https://ripple.com/solutions/prime-brokerage/" TargetMode="External"/><Relationship Id="rId21" Type="http://schemas.openxmlformats.org/officeDocument/2006/relationships/hyperlink" Target="https://ripple.com/solutions/treasury-management/" TargetMode="External"/><Relationship Id="rId22" Type="http://schemas.openxmlformats.org/officeDocument/2006/relationships/hyperlink" Target="https://ripple.com/faq/" TargetMode="External"/><Relationship Id="rId23" Type="http://schemas.openxmlformats.org/officeDocument/2006/relationships/hyperlink" Target="https://xrpl.org/about/faq" TargetMode="External"/><Relationship Id="rId24" Type="http://schemas.openxmlformats.org/officeDocument/2006/relationships/hyperlink" Target="https://ripple.com/careers/all-jobs/job/7195532/?gh_jid=7195532" TargetMode="External"/><Relationship Id="rId25" Type="http://schemas.openxmlformats.org/officeDocument/2006/relationships/hyperlink" Target="https://ripple.com/careers/all-jobs/job/7912314/?gh_jid=7912314" TargetMode="External"/><Relationship Id="rId26" Type="http://schemas.openxmlformats.org/officeDocument/2006/relationships/hyperlink" Target="https://docs.ripple.com/products/payments-direct-2/introduction/concepts/payment-identities" TargetMode="External"/><Relationship Id="rId27" Type="http://schemas.openxmlformats.org/officeDocument/2006/relationships/hyperlink" Target="https://www.sec.gov/enforcement-litigation/litigation-releases/lr-26369" TargetMode="External"/><Relationship Id="rId28" Type="http://schemas.openxmlformats.org/officeDocument/2006/relationships/hyperlink" Target="https://ripple.com/insights/building-the-one-stop-shop-for-digital-asset-infrastructure/" TargetMode="External"/><Relationship Id="rId29" Type="http://schemas.openxmlformats.org/officeDocument/2006/relationships/hyperlink" Target="https://ripple.com/ripple-press/ripple-receives-full-eu-mica-casp-license/" TargetMode="External"/><Relationship Id="rId30" Type="http://schemas.openxmlformats.org/officeDocument/2006/relationships/hyperlink" Target="https://www.glassdoor.com/Interview/Ripple-Software-Engineer-Interview-Questions-EI_IE798412.0%2C6_KO7%2C24.htm" TargetMode="External"/><Relationship Id="rId31" Type="http://schemas.openxmlformats.org/officeDocument/2006/relationships/hyperlink" Target="https://www.glassdoor.com/Interview/Ripple-Senior-Software-Engineer-Interview-Questions-EI_IE798412.0%2C6_KO7%2C31.htm" TargetMode="External"/><Relationship Id="rId32" Type="http://schemas.openxmlformats.org/officeDocument/2006/relationships/hyperlink" Target="https://www.glassdoor.com/Interview/Designing-payment-systems-challenges-around-it-QTN_8590842.htm" TargetMode="External"/><Relationship Id="rId33" Type="http://schemas.openxmlformats.org/officeDocument/2006/relationships/hyperlink" Target="https://leetcode.com/discuss/post/1205000/ripple-phone-screen-design-tic-tac-toe/" TargetMode="External"/><Relationship Id="rId34" Type="http://schemas.openxmlformats.org/officeDocument/2006/relationships/hyperlink" Target="https://www.glassdoor.com/Interview/Find-the-most-frequent-elements-in-a-string-QTN_4827433.htm" TargetMode="External"/><Relationship Id="rId35" Type="http://schemas.openxmlformats.org/officeDocument/2006/relationships/hyperlink" Target="https://www.glassdoor.com/Interview/Ripple-Staff-Software-Engineer-Interview-Questions-EI_IE798412.0%2C6_KO7%2C30.htm" TargetMode="External"/><Relationship Id="rId36" Type="http://schemas.openxmlformats.org/officeDocument/2006/relationships/hyperlink" Target="https://www.1point3acres.com/bbs/thread-1002503-1-1.html" TargetMode="External"/><Relationship Id="rId37" Type="http://schemas.openxmlformats.org/officeDocument/2006/relationships/hyperlink" Target="https://www.1point3acres.com/bbs/thread-1170882-1-1.html" TargetMode="External"/><Relationship Id="rId38" Type="http://schemas.openxmlformats.org/officeDocument/2006/relationships/hyperlink" Target="https://www.tryexponent.com/questions?company=ripple&amp;role=swe" TargetMode="External"/><Relationship Id="rId39" Type="http://schemas.openxmlformats.org/officeDocument/2006/relationships/hyperlink" Target="https://www.jointaro.com/interviews/companies/ripple/experiences/software-engineer-united-states-september-1-2018-no-offer-positive-7a71cc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 Onsite Interview Prep - Senior Software Engineer, Identity &amp; Trust</dc:title>
  <dc:subject>Tailored onsite interview preparation guide</dc:subject>
  <dc:creator/>
  <cp:keywords>Ripple, interview, Identity &amp; Trust, system design, coding, behavioral</cp:keywords>
  <dc:description>Prepared from user-authorized Gmail materials and cited public sources.</dc:description>
  <cp:lastModifiedBy/>
  <cp:revision>1</cp:revision>
  <dcterms:created xsi:type="dcterms:W3CDTF">2013-12-23T23:15:00Z</dcterms:created>
  <dcterms:modified xsi:type="dcterms:W3CDTF">2013-12-23T23:15:00Z</dcterms:modified>
  <cp:category>Interview preparation</cp:category>
</cp:coreProperties>
</file>