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E02B" w14:textId="77777777" w:rsidR="007A3B74" w:rsidRPr="004709A1" w:rsidRDefault="007A3B74" w:rsidP="00365A53">
      <w:pPr>
        <w:pStyle w:val="1"/>
        <w:adjustRightInd w:val="0"/>
        <w:snapToGrid w:val="0"/>
        <w:spacing w:before="0" w:after="0" w:line="360" w:lineRule="auto"/>
        <w:jc w:val="center"/>
        <w:rPr>
          <w:rFonts w:ascii="標楷體" w:eastAsia="標楷體" w:hAnsi="標楷體"/>
          <w:b w:val="0"/>
          <w:sz w:val="36"/>
          <w:szCs w:val="36"/>
        </w:rPr>
      </w:pPr>
      <w:bookmarkStart w:id="0" w:name="_Toc523837202"/>
      <w:bookmarkStart w:id="1" w:name="_Toc523837442"/>
      <w:bookmarkStart w:id="2" w:name="_Toc523837876"/>
      <w:bookmarkStart w:id="3" w:name="_Toc523852840"/>
      <w:bookmarkStart w:id="4" w:name="_Toc523852922"/>
      <w:bookmarkStart w:id="5" w:name="_Toc523908428"/>
      <w:bookmarkStart w:id="6" w:name="_Toc523908553"/>
      <w:bookmarkStart w:id="7" w:name="_Toc31725319"/>
      <w:r w:rsidRPr="004709A1">
        <w:rPr>
          <w:rFonts w:ascii="標楷體" w:eastAsia="標楷體" w:hAnsi="標楷體" w:hint="eastAsia"/>
          <w:b w:val="0"/>
          <w:sz w:val="36"/>
          <w:szCs w:val="36"/>
        </w:rPr>
        <w:t>第二章 文獻探討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D85AE3B" w14:textId="7D91D1F3" w:rsidR="007A3B74" w:rsidRDefault="007A3B74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本研究旨在探討「</w:t>
      </w:r>
      <w:r w:rsidR="006F1243">
        <w:rPr>
          <w:rFonts w:ascii="標楷體" w:eastAsia="標楷體" w:hAnsi="標楷體" w:hint="eastAsia"/>
          <w:color w:val="000000" w:themeColor="text1"/>
          <w:sz w:val="28"/>
          <w:szCs w:val="28"/>
        </w:rPr>
        <w:t>互動式</w:t>
      </w: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體感遊戲對幼兒</w:t>
      </w:r>
      <w:r w:rsidR="006F1243">
        <w:rPr>
          <w:rFonts w:ascii="標楷體" w:eastAsia="標楷體" w:hAnsi="標楷體" w:hint="eastAsia"/>
          <w:color w:val="000000" w:themeColor="text1"/>
          <w:sz w:val="28"/>
          <w:szCs w:val="28"/>
        </w:rPr>
        <w:t>美感</w:t>
      </w: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學習、動作技能及執行功能影響之研究」。以下分別「</w:t>
      </w:r>
      <w:r w:rsidR="004B4F53">
        <w:rPr>
          <w:rFonts w:ascii="標楷體" w:eastAsia="標楷體" w:hAnsi="標楷體" w:hint="eastAsia"/>
          <w:color w:val="000000" w:themeColor="text1"/>
          <w:sz w:val="28"/>
          <w:szCs w:val="28"/>
        </w:rPr>
        <w:t>互動式</w:t>
      </w:r>
      <w:r w:rsidR="004B4F53"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體感遊戲</w:t>
      </w: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」、「動作技能」、「執行功能」、「幼兒</w:t>
      </w:r>
      <w:r w:rsidR="006F1243">
        <w:rPr>
          <w:rFonts w:ascii="標楷體" w:eastAsia="標楷體" w:hAnsi="標楷體" w:hint="eastAsia"/>
          <w:color w:val="000000" w:themeColor="text1"/>
          <w:sz w:val="28"/>
          <w:szCs w:val="28"/>
        </w:rPr>
        <w:t>美感</w:t>
      </w: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」</w:t>
      </w:r>
      <w:r w:rsidR="00E15508">
        <w:rPr>
          <w:rFonts w:ascii="標楷體" w:eastAsia="標楷體" w:hAnsi="標楷體" w:hint="eastAsia"/>
          <w:color w:val="000000" w:themeColor="text1"/>
          <w:sz w:val="28"/>
          <w:szCs w:val="28"/>
        </w:rPr>
        <w:t>以及「遊戲式學習」</w:t>
      </w:r>
      <w:r w:rsidRPr="00E979A5">
        <w:rPr>
          <w:rFonts w:ascii="標楷體" w:eastAsia="標楷體" w:hAnsi="標楷體" w:hint="eastAsia"/>
          <w:color w:val="000000" w:themeColor="text1"/>
          <w:sz w:val="28"/>
          <w:szCs w:val="28"/>
        </w:rPr>
        <w:t>相關文獻進行整理與歸納。</w:t>
      </w:r>
    </w:p>
    <w:p w14:paraId="612FC72D" w14:textId="77777777" w:rsidR="000B3CA0" w:rsidRPr="00E979A5" w:rsidRDefault="000B3CA0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C79FAC2" w14:textId="02FDA82D" w:rsidR="007A3B74" w:rsidRPr="00B71711" w:rsidRDefault="007A3B74" w:rsidP="00365A53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bookmarkStart w:id="8" w:name="_Toc523837205"/>
      <w:bookmarkStart w:id="9" w:name="_Toc523837445"/>
      <w:bookmarkStart w:id="10" w:name="_Toc523837879"/>
      <w:bookmarkStart w:id="11" w:name="_Toc523852843"/>
      <w:bookmarkStart w:id="12" w:name="_Toc523852925"/>
      <w:bookmarkStart w:id="13" w:name="_Toc523908431"/>
      <w:bookmarkStart w:id="14" w:name="_Toc523908556"/>
      <w:bookmarkStart w:id="15" w:name="_Toc31725320"/>
      <w:r w:rsidRPr="008B3BE4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一</w:t>
      </w:r>
      <w:r w:rsidRPr="008B3BE4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 xml:space="preserve">節 </w:t>
      </w:r>
      <w:bookmarkEnd w:id="8"/>
      <w:bookmarkEnd w:id="9"/>
      <w:bookmarkEnd w:id="10"/>
      <w:bookmarkEnd w:id="11"/>
      <w:bookmarkEnd w:id="12"/>
      <w:bookmarkEnd w:id="13"/>
      <w:bookmarkEnd w:id="14"/>
      <w:r w:rsidR="009D7332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互動式</w:t>
      </w:r>
      <w:r w:rsidRPr="008B3BE4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體感遊戲</w:t>
      </w:r>
      <w:bookmarkEnd w:id="15"/>
    </w:p>
    <w:p w14:paraId="04186921" w14:textId="0E7984C5" w:rsidR="009D7332" w:rsidRPr="009E76C3" w:rsidRDefault="009E76C3" w:rsidP="003A52A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7D227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互動式體感遊戲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與幼兒教育</w:t>
      </w:r>
    </w:p>
    <w:p w14:paraId="3E7E9686" w14:textId="036FD23A" w:rsidR="00D30BD0" w:rsidRDefault="001E6FF8" w:rsidP="009E76C3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ab/>
      </w:r>
      <w:r w:rsidR="009D733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互動式</w:t>
      </w:r>
      <w:r w:rsidR="009D7332" w:rsidRPr="009D733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體感</w:t>
      </w:r>
      <w:r w:rsidR="009D733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遊戲</w:t>
      </w:r>
      <w:r w:rsidR="007D2279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r w:rsidR="007D227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G</w:t>
      </w:r>
      <w:r w:rsidR="007D227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e</w:t>
      </w:r>
      <w:r w:rsidR="007D227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sture Interactive Game</w:t>
      </w:r>
      <w:r w:rsidR="007D2279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9D7332" w:rsidRPr="009D733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為一種新穎的技術利用電腦科技創造出的虛擬物體及情境，使人可以身歷其境地與虛擬物體互動</w:t>
      </w:r>
      <w:r w:rsidR="0049693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proofErr w:type="spellStart"/>
      <w:r w:rsidR="009D7332" w:rsidRPr="009D733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Stephen,Mark</w:t>
      </w:r>
      <w:proofErr w:type="spellEnd"/>
      <w:r w:rsidR="009D7332" w:rsidRPr="009D733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&amp; Rick, 2005</w:t>
      </w:r>
      <w:r w:rsidR="0049693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，透過感測器偵測手勢及身體動作</w:t>
      </w:r>
      <w:r w:rsidR="008207F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讓學習者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與</w:t>
      </w:r>
      <w:r w:rsidR="0049693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系統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互動（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Hsiao, Chen, Lin, &amp; Chen, 2018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）</w:t>
      </w:r>
      <w:r w:rsid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，這種方式最主要的目的是</w:t>
      </w:r>
      <w:r w:rsidR="00E21BAB" w:rsidRP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讓玩家</w:t>
      </w:r>
      <w:r w:rsid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能用</w:t>
      </w:r>
      <w:r w:rsidR="00E21BAB" w:rsidRP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使用更簡單直觀地</w:t>
      </w:r>
      <w:r w:rsid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操作</w:t>
      </w:r>
      <w:r w:rsidR="00E21BAB" w:rsidRP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與</w:t>
      </w:r>
      <w:r w:rsid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系統互動</w:t>
      </w:r>
      <w:r w:rsidR="00E21BAB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proofErr w:type="spellStart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Boutsika</w:t>
      </w:r>
      <w:proofErr w:type="spellEnd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2014; Martin-</w:t>
      </w:r>
      <w:proofErr w:type="spellStart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SanJose</w:t>
      </w:r>
      <w:proofErr w:type="spellEnd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Juan, </w:t>
      </w:r>
      <w:proofErr w:type="spellStart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Mollá</w:t>
      </w:r>
      <w:proofErr w:type="spellEnd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&amp; </w:t>
      </w:r>
      <w:proofErr w:type="spellStart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Vivó</w:t>
      </w:r>
      <w:proofErr w:type="spellEnd"/>
      <w:r w:rsidR="00E21BAB" w:rsidRPr="00E21BA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2017</w:t>
      </w:r>
      <w:r w:rsidR="00E21BAB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r w:rsidR="00E21BA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而</w:t>
      </w:r>
      <w:r w:rsid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使用手勢</w:t>
      </w:r>
      <w:r w:rsidR="0085508C" w:rsidRP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的</w:t>
      </w:r>
      <w:r w:rsid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操作在</w:t>
      </w:r>
      <w:r w:rsidR="0085508C" w:rsidRP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人機</w:t>
      </w:r>
      <w:r w:rsid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互動</w:t>
      </w:r>
      <w:r w:rsidR="0085508C" w:rsidRPr="0085508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領域已成為一種有效控制方式</w:t>
      </w:r>
      <w:r w:rsidR="0085508C" w:rsidRPr="0085508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="0085508C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proofErr w:type="spellStart"/>
      <w:r w:rsidR="0085508C" w:rsidRPr="0085508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Hairong</w:t>
      </w:r>
      <w:proofErr w:type="spellEnd"/>
      <w:r w:rsidR="0085508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2014</w:t>
      </w:r>
      <w:r w:rsidR="0085508C" w:rsidRPr="00E979A5">
        <w:rPr>
          <w:rFonts w:ascii="Times New Roman" w:eastAsia="標楷體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  <w:r w:rsidR="0085508C" w:rsidRPr="0085508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互動式</w:t>
      </w:r>
      <w:r w:rsidR="0049693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的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學習能有回饋及生動的感受，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讓學習者主動學習並引導，使用不一樣的教學方式並提供學習內容以吸引學習者注意力、增加學習動機，積極的學習影響學習成果（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Yamamori,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Isoda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Hiromori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, &amp; Oxford, 2003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;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Altanis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Boloudakis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Retalis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, &amp; Nikou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2013; </w:t>
      </w:r>
      <w:proofErr w:type="spellStart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Shakroum</w:t>
      </w:r>
      <w:proofErr w:type="spellEnd"/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, Wong, &amp; Fung, 2018</w:t>
      </w:r>
      <w:r w:rsidR="007A3B74" w:rsidRPr="00E979A5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7A3B7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="00496934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同時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加強</w:t>
      </w:r>
      <w:r w:rsidR="00496934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幼兒的</w:t>
      </w:r>
      <w:r w:rsidR="00496934" w:rsidRPr="00496934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認知發展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、</w:t>
      </w:r>
      <w:r w:rsidR="00496934" w:rsidRPr="00496934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技能培養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、</w:t>
      </w:r>
      <w:r w:rsidR="00496934" w:rsidRPr="00496934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社交互動、身體活動及健康行為</w:t>
      </w:r>
      <w:r w:rsidR="007A3B74" w:rsidRPr="00E979A5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r w:rsidR="00496934" w:rsidRPr="00496934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Lieberman, Fisk, &amp; </w:t>
      </w:r>
      <w:proofErr w:type="spellStart"/>
      <w:r w:rsidR="00496934" w:rsidRPr="00496934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Biely</w:t>
      </w:r>
      <w:proofErr w:type="spellEnd"/>
      <w:r w:rsidR="00496934" w:rsidRPr="00496934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, 2009</w:t>
      </w:r>
      <w:r w:rsidR="007A3B74" w:rsidRPr="00E979A5">
        <w:rPr>
          <w:rFonts w:ascii="Times New Roman" w:eastAsia="標楷體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  <w:r w:rsidR="007A3B74" w:rsidRPr="00E979A5">
        <w:rPr>
          <w:rFonts w:ascii="Times New Roman" w:eastAsia="標楷體" w:hAnsi="Times New Roman" w:cs="Arial"/>
          <w:color w:val="000000" w:themeColor="text1"/>
          <w:sz w:val="28"/>
          <w:szCs w:val="28"/>
          <w:shd w:val="clear" w:color="auto" w:fill="FFFFFF"/>
        </w:rPr>
        <w:t>。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尤其是在互動式體感遊戲具中娛樂性、互動性、回饋性等功能，並藉由聲光效果可引起幼兒的興趣（陶淑瑗、莊宗嚴，</w:t>
      </w:r>
      <w:r w:rsidR="004760AF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2017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</w:t>
      </w:r>
      <w:r w:rsidR="008207F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這樣的方式也能</w:t>
      </w:r>
      <w:r w:rsidR="008207F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lastRenderedPageBreak/>
        <w:t>使學習者的</w:t>
      </w:r>
      <w:r w:rsidR="007A3B74"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學習表現</w:t>
      </w:r>
      <w:r w:rsidR="008207F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優於</w:t>
      </w:r>
      <w:r w:rsidR="007A3B74"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傳統遊戲式學習</w:t>
      </w:r>
      <w:r w:rsidR="008207F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並且</w:t>
      </w:r>
      <w:r w:rsidR="007A3B74"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更能專注於課程（</w:t>
      </w:r>
      <w:r w:rsidR="007A3B74"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Hsu et al., 2016</w:t>
      </w:r>
      <w:r w:rsidR="007A3B74"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D30BD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186DA28D" w14:textId="7234D338" w:rsidR="00D30BD0" w:rsidRDefault="00D30BD0" w:rsidP="009E76C3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互動式體感遊戲能在幼兒遊玩遊戲的時候，同步訓練幼兒的動作技能以提高幼兒日常生活需要的運動能力</w:t>
      </w:r>
      <w:r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（</w:t>
      </w:r>
      <w:proofErr w:type="spellStart"/>
      <w:r w:rsidRPr="005120BE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Altanis</w:t>
      </w:r>
      <w:proofErr w:type="spellEnd"/>
      <w:r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et al., 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2013</w:t>
      </w:r>
      <w:r w:rsidRPr="00E403FA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，同時幼兒的在遊玩時的肢體動作也能減少認知負荷</w:t>
      </w:r>
      <w:r w:rsidRPr="00D30BD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（</w:t>
      </w:r>
      <w:r w:rsidRPr="00D30BD0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Hostetter, 2011</w:t>
      </w:r>
      <w:r w:rsidRPr="00D30BD0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</w:t>
      </w:r>
      <w:r w:rsidR="004760A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，這種用遊戲學習的方式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被認為是一種沉浸且令人感到愉快方式，幼兒透過遊戲進行學習，也可以更有效地提升學習成效、學習意願以及學習動機（鄭婷鶴，</w:t>
      </w:r>
      <w:r w:rsidR="004760AF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2016</w:t>
      </w:r>
      <w:r w:rsidR="004760AF">
        <w:rPr>
          <w:rFonts w:cs="標楷體" w:hint="eastAsia"/>
          <w:color w:val="000000" w:themeColor="text1"/>
          <w:sz w:val="28"/>
          <w:szCs w:val="28"/>
          <w:shd w:val="clear" w:color="auto" w:fill="FFFFFF"/>
        </w:rPr>
        <w:t>；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蔡福興等人，</w:t>
      </w:r>
      <w:r w:rsidR="004760AF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2010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；</w:t>
      </w:r>
      <w:r w:rsidR="004760AF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Cheung &amp; McBride, 2017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；</w:t>
      </w:r>
      <w:r w:rsidR="004760AF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Tsai et al., 2015</w:t>
      </w:r>
      <w:r w:rsidR="004760AF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</w:t>
      </w:r>
      <w:r w:rsidR="00080F05" w:rsidRPr="005120BE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。</w:t>
      </w:r>
    </w:p>
    <w:p w14:paraId="03B28661" w14:textId="378E2871" w:rsidR="00E21BAB" w:rsidRPr="009E76C3" w:rsidRDefault="00B91D71" w:rsidP="00B91D71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D7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表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2-1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總結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眾多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學者對於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互動式體感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遊戲對於學習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成效、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動作技能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與執行功能</w:t>
      </w:r>
      <w:r w:rsidRPr="00B91D71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，都有</w:t>
      </w:r>
      <w:r w:rsidR="00CF6A1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顯著的正面效果</w:t>
      </w:r>
      <w:r w:rsid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。</w:t>
      </w:r>
      <w:r w:rsidR="007800DB" w:rsidRPr="009E76C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A1C0A57" w14:textId="1497F052" w:rsidR="00365A53" w:rsidRPr="00365A53" w:rsidRDefault="00365A53" w:rsidP="00365A53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bookmarkStart w:id="16" w:name="_Toc8276060"/>
      <w:r w:rsidRPr="00365A53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表</w:t>
      </w:r>
      <w:r w:rsidRPr="00365A53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</w:t>
      </w:r>
      <w:r w:rsidRPr="00365A53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noBreakHyphen/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3</w:t>
      </w:r>
      <w:r w:rsidRPr="00365A53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Pr="00365A5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體感互動遊戲</w:t>
      </w:r>
      <w:r w:rsidR="00E1550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運用於幼兒教育</w:t>
      </w:r>
      <w:r w:rsidRPr="00365A5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相關文獻</w:t>
      </w:r>
      <w:bookmarkEnd w:id="16"/>
    </w:p>
    <w:tbl>
      <w:tblPr>
        <w:tblStyle w:val="24"/>
        <w:tblW w:w="8505" w:type="dxa"/>
        <w:tblLook w:val="04A0" w:firstRow="1" w:lastRow="0" w:firstColumn="1" w:lastColumn="0" w:noHBand="0" w:noVBand="1"/>
      </w:tblPr>
      <w:tblGrid>
        <w:gridCol w:w="2029"/>
        <w:gridCol w:w="1707"/>
        <w:gridCol w:w="1514"/>
        <w:gridCol w:w="1560"/>
        <w:gridCol w:w="1695"/>
      </w:tblGrid>
      <w:tr w:rsidR="00365A53" w:rsidRPr="00365A53" w14:paraId="347708E2" w14:textId="77777777" w:rsidTr="00B9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18" w:space="0" w:color="7F7F7F" w:themeColor="text1" w:themeTint="80"/>
            </w:tcBorders>
          </w:tcPr>
          <w:p w14:paraId="50C58AD7" w14:textId="77777777" w:rsidR="00365A53" w:rsidRPr="00365A53" w:rsidRDefault="00365A53" w:rsidP="00E21BAB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作者</w:t>
            </w:r>
            <w:r w:rsidRPr="00365A53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(</w:t>
            </w: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年代</w:t>
            </w: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842" w:type="dxa"/>
            <w:tcBorders>
              <w:top w:val="single" w:sz="18" w:space="0" w:color="7F7F7F" w:themeColor="text1" w:themeTint="80"/>
            </w:tcBorders>
          </w:tcPr>
          <w:p w14:paraId="456C2EC6" w14:textId="77777777" w:rsidR="00365A53" w:rsidRPr="00365A53" w:rsidRDefault="00365A53" w:rsidP="00E21BAB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研究名稱</w:t>
            </w:r>
          </w:p>
        </w:tc>
        <w:tc>
          <w:tcPr>
            <w:tcW w:w="1701" w:type="dxa"/>
            <w:tcBorders>
              <w:top w:val="single" w:sz="18" w:space="0" w:color="7F7F7F" w:themeColor="text1" w:themeTint="80"/>
            </w:tcBorders>
          </w:tcPr>
          <w:p w14:paraId="624B4582" w14:textId="77777777" w:rsidR="00365A53" w:rsidRPr="00365A53" w:rsidRDefault="00365A53" w:rsidP="00E21BAB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研究對象</w:t>
            </w:r>
          </w:p>
        </w:tc>
        <w:tc>
          <w:tcPr>
            <w:tcW w:w="1701" w:type="dxa"/>
            <w:tcBorders>
              <w:top w:val="single" w:sz="18" w:space="0" w:color="7F7F7F" w:themeColor="text1" w:themeTint="80"/>
            </w:tcBorders>
          </w:tcPr>
          <w:p w14:paraId="7CB6756C" w14:textId="77777777" w:rsidR="00365A53" w:rsidRPr="00365A53" w:rsidRDefault="00365A53" w:rsidP="00E21BAB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研究方法</w:t>
            </w:r>
          </w:p>
        </w:tc>
        <w:tc>
          <w:tcPr>
            <w:tcW w:w="1843" w:type="dxa"/>
            <w:tcBorders>
              <w:top w:val="single" w:sz="18" w:space="0" w:color="7F7F7F" w:themeColor="text1" w:themeTint="80"/>
            </w:tcBorders>
          </w:tcPr>
          <w:p w14:paraId="7EC3B155" w14:textId="77777777" w:rsidR="00365A53" w:rsidRPr="00365A53" w:rsidRDefault="00365A53" w:rsidP="00E21BAB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365A53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研究結果</w:t>
            </w:r>
          </w:p>
        </w:tc>
      </w:tr>
      <w:tr w:rsidR="00B91D71" w:rsidRPr="00365A53" w14:paraId="01EDBEA0" w14:textId="77777777" w:rsidTr="00B9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59C9B72" w14:textId="3ABCD0DC" w:rsidR="00B91D71" w:rsidRPr="00365A53" w:rsidRDefault="00B91D71" w:rsidP="00B91D71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spellStart"/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Hsiao,Chen</w:t>
            </w:r>
            <w:proofErr w:type="spellEnd"/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, Lin, &amp;Chen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（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2018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）</w:t>
            </w:r>
          </w:p>
        </w:tc>
        <w:tc>
          <w:tcPr>
            <w:tcW w:w="1842" w:type="dxa"/>
          </w:tcPr>
          <w:p w14:paraId="740439FB" w14:textId="0CEC445D" w:rsidR="00B91D71" w:rsidRPr="00365A53" w:rsidRDefault="00B91D71" w:rsidP="00B91D71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基於手勢的學習方法對學齡前兒童的學習成績，運動技能和運動行為的影響</w:t>
            </w:r>
          </w:p>
        </w:tc>
        <w:tc>
          <w:tcPr>
            <w:tcW w:w="1701" w:type="dxa"/>
          </w:tcPr>
          <w:p w14:paraId="61313CA8" w14:textId="427A1981" w:rsidR="00B91D71" w:rsidRPr="00365A53" w:rsidRDefault="00B91D71" w:rsidP="00B91D71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幼兒園大班</w:t>
            </w:r>
          </w:p>
        </w:tc>
        <w:tc>
          <w:tcPr>
            <w:tcW w:w="1701" w:type="dxa"/>
          </w:tcPr>
          <w:p w14:paraId="38F0D738" w14:textId="72D3482E" w:rsidR="00B91D71" w:rsidRPr="00365A53" w:rsidRDefault="00B91D71" w:rsidP="00B91D71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使用華碩</w:t>
            </w:r>
            <w:proofErr w:type="spellStart"/>
            <w:r w:rsidRPr="000029F3">
              <w:rPr>
                <w:rFonts w:ascii="Times New Roman" w:eastAsia="標楷體" w:hAnsi="Times New Roman" w:cs="Times New Roman"/>
                <w:color w:val="000000" w:themeColor="text1"/>
              </w:rPr>
              <w:t>Xtion</w:t>
            </w:r>
            <w:proofErr w:type="spellEnd"/>
            <w:r w:rsidRPr="000029F3">
              <w:rPr>
                <w:rFonts w:ascii="Times New Roman" w:eastAsia="標楷體" w:hAnsi="Times New Roman" w:cs="Times New Roman"/>
                <w:color w:val="000000" w:themeColor="text1"/>
              </w:rPr>
              <w:t xml:space="preserve"> PRO</w:t>
            </w: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設備，前後測動作技能與植物學習各</w:t>
            </w:r>
            <w:r w:rsidRPr="000029F3">
              <w:rPr>
                <w:rFonts w:ascii="Times New Roman" w:eastAsia="標楷體" w:hAnsi="Times New Roman" w:cs="Times New Roman"/>
                <w:color w:val="000000" w:themeColor="text1"/>
              </w:rPr>
              <w:t>10</w:t>
            </w: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分鐘，進行</w:t>
            </w:r>
            <w:r w:rsidRPr="000029F3">
              <w:rPr>
                <w:rFonts w:ascii="Times New Roman" w:eastAsia="標楷體" w:hAnsi="Times New Roman" w:cs="Times New Roman"/>
                <w:color w:val="000000" w:themeColor="text1"/>
              </w:rPr>
              <w:t>30</w:t>
            </w: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分鐘實驗。</w:t>
            </w:r>
          </w:p>
        </w:tc>
        <w:tc>
          <w:tcPr>
            <w:tcW w:w="1843" w:type="dxa"/>
          </w:tcPr>
          <w:p w14:paraId="0A7D3F30" w14:textId="53FE7E68" w:rsidR="00B91D71" w:rsidRPr="00365A53" w:rsidRDefault="00B91D71" w:rsidP="00B91D71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0029F3">
              <w:rPr>
                <w:rFonts w:ascii="Times New Roman" w:eastAsia="標楷體" w:hAnsi="Times New Roman" w:cs="=˝Pˇ"/>
                <w:color w:val="000000" w:themeColor="text1"/>
              </w:rPr>
              <w:t>基於手勢學習方法是有效性的，對照組教師一名助理一名，教師回答問題時會中斷學習和動作行為。</w:t>
            </w:r>
          </w:p>
        </w:tc>
      </w:tr>
      <w:tr w:rsidR="00B91D71" w:rsidRPr="00365A53" w14:paraId="696D4D6A" w14:textId="77777777" w:rsidTr="00B91D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1A6690" w14:textId="170C1EFB" w:rsidR="00CF6A10" w:rsidRPr="00CF6A10" w:rsidRDefault="00CF6A10" w:rsidP="00CF6A10">
            <w:pPr>
              <w:adjustRightInd w:val="0"/>
              <w:snapToGrid w:val="0"/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</w:pPr>
            <w:proofErr w:type="spellStart"/>
            <w:proofErr w:type="gramStart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AlZubi,Fernández</w:t>
            </w:r>
            <w:proofErr w:type="spellEnd"/>
            <w:proofErr w:type="gramEnd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 xml:space="preserve">, </w:t>
            </w:r>
          </w:p>
          <w:p w14:paraId="61DD8D75" w14:textId="77777777" w:rsidR="00CF6A10" w:rsidRPr="00CF6A10" w:rsidRDefault="00CF6A10" w:rsidP="00CF6A10">
            <w:pPr>
              <w:adjustRightInd w:val="0"/>
              <w:snapToGrid w:val="0"/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</w:pPr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 xml:space="preserve">Flores, </w:t>
            </w:r>
            <w:proofErr w:type="spellStart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Duranb</w:t>
            </w:r>
            <w:proofErr w:type="spellEnd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 xml:space="preserve">, &amp; </w:t>
            </w:r>
          </w:p>
          <w:p w14:paraId="3598FB29" w14:textId="470D52FB" w:rsidR="00B91D71" w:rsidRPr="00365A53" w:rsidRDefault="00CF6A10" w:rsidP="00CF6A10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spellStart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Cotos</w:t>
            </w:r>
            <w:proofErr w:type="spellEnd"/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（</w:t>
            </w:r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2018</w:t>
            </w:r>
            <w:r w:rsidRPr="00CF6A10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）</w:t>
            </w:r>
          </w:p>
        </w:tc>
        <w:tc>
          <w:tcPr>
            <w:tcW w:w="1842" w:type="dxa"/>
          </w:tcPr>
          <w:p w14:paraId="3F4C5049" w14:textId="77777777" w:rsidR="00CF6A10" w:rsidRPr="00CF6A10" w:rsidRDefault="00CF6A10" w:rsidP="00CF6A1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  <w:lang w:val="en"/>
              </w:rPr>
            </w:pPr>
            <w:r w:rsidRPr="00CF6A10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  <w:lang w:val="en"/>
              </w:rPr>
              <w:t>使用基於手勢</w:t>
            </w:r>
          </w:p>
          <w:p w14:paraId="6DB0C706" w14:textId="77777777" w:rsidR="00CF6A10" w:rsidRPr="00CF6A10" w:rsidRDefault="00CF6A10" w:rsidP="00CF6A1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  <w:lang w:val="en"/>
              </w:rPr>
            </w:pPr>
            <w:r w:rsidRPr="00CF6A10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  <w:lang w:val="en"/>
              </w:rPr>
              <w:t>學習對工作記</w:t>
            </w:r>
          </w:p>
          <w:p w14:paraId="48E83108" w14:textId="31D02E76" w:rsidR="00B91D71" w:rsidRPr="00365A53" w:rsidRDefault="00CF6A10" w:rsidP="00CF6A1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  <w:lang w:val="en"/>
              </w:rPr>
            </w:pPr>
            <w:r w:rsidRPr="00CF6A10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  <w:lang w:val="en"/>
              </w:rPr>
              <w:t>憶之影響</w:t>
            </w:r>
          </w:p>
        </w:tc>
        <w:tc>
          <w:tcPr>
            <w:tcW w:w="1701" w:type="dxa"/>
          </w:tcPr>
          <w:p w14:paraId="0EADD148" w14:textId="24CABA4A" w:rsidR="00B91D71" w:rsidRPr="00365A53" w:rsidRDefault="00CF6A10" w:rsidP="00CF6A1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CF6A10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63 </w:t>
            </w:r>
            <w:r w:rsidRPr="00CF6A10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位年齡平均</w:t>
            </w:r>
            <w:r w:rsidRPr="00CF6A10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為</w:t>
            </w:r>
            <w:r w:rsidRPr="00CF6A10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11 </w:t>
            </w:r>
            <w:r w:rsidRPr="00CF6A10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歲孩童</w:t>
            </w:r>
          </w:p>
        </w:tc>
        <w:tc>
          <w:tcPr>
            <w:tcW w:w="1701" w:type="dxa"/>
          </w:tcPr>
          <w:p w14:paraId="3D4274AC" w14:textId="6FE0DE82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843" w:type="dxa"/>
          </w:tcPr>
          <w:p w14:paraId="3982C932" w14:textId="37EA4BC0" w:rsidR="00B91D71" w:rsidRPr="00365A53" w:rsidRDefault="007800DB" w:rsidP="007800DB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7800DB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使用</w:t>
            </w:r>
            <w:r w:rsidRPr="007800DB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Kinect </w:t>
            </w:r>
            <w:r w:rsidRPr="007800DB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體</w:t>
            </w:r>
            <w:r w:rsidRPr="007800DB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感遊戲之學習成效及心算速度較高</w:t>
            </w:r>
          </w:p>
        </w:tc>
      </w:tr>
      <w:tr w:rsidR="00B91D71" w:rsidRPr="00365A53" w14:paraId="6C5F9D8E" w14:textId="77777777" w:rsidTr="00B9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E54667" w14:textId="3BEF82AF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Hsiao, Chen, Lin, &amp; Chen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（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2018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）</w:t>
            </w:r>
          </w:p>
        </w:tc>
        <w:tc>
          <w:tcPr>
            <w:tcW w:w="1842" w:type="dxa"/>
          </w:tcPr>
          <w:p w14:paraId="5BCAAA71" w14:textId="3A4938E1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基於手勢的學習方法對學齡前兒童的學習成績，運動技能和運動行為的影響</w:t>
            </w:r>
          </w:p>
        </w:tc>
        <w:tc>
          <w:tcPr>
            <w:tcW w:w="1701" w:type="dxa"/>
          </w:tcPr>
          <w:p w14:paraId="08F9A6C4" w14:textId="592672A1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</w:tcPr>
          <w:p w14:paraId="6C7F6E63" w14:textId="10BDB71C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843" w:type="dxa"/>
          </w:tcPr>
          <w:p w14:paraId="6FBACD37" w14:textId="4638EBDF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B91D71" w:rsidRPr="00365A53" w14:paraId="50A21E83" w14:textId="77777777" w:rsidTr="00B91D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3B7D1D" w14:textId="66F40EFA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lastRenderedPageBreak/>
              <w:t>Hsiao, Chen, Lin, &amp; Chen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（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2018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）</w:t>
            </w:r>
          </w:p>
        </w:tc>
        <w:tc>
          <w:tcPr>
            <w:tcW w:w="1842" w:type="dxa"/>
          </w:tcPr>
          <w:p w14:paraId="713BABEE" w14:textId="2617E801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基於手勢的學習方法對學齡前兒童的學習成績，運動技能和運動行為的影響</w:t>
            </w:r>
          </w:p>
        </w:tc>
        <w:tc>
          <w:tcPr>
            <w:tcW w:w="1701" w:type="dxa"/>
          </w:tcPr>
          <w:p w14:paraId="193FC6F8" w14:textId="4B90103B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</w:tcPr>
          <w:p w14:paraId="3EC0D529" w14:textId="0815E8C9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843" w:type="dxa"/>
          </w:tcPr>
          <w:p w14:paraId="06BE6129" w14:textId="17CBFF82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B91D71" w:rsidRPr="00365A53" w14:paraId="2E6D7F30" w14:textId="77777777" w:rsidTr="00B9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4DEE20" w14:textId="41389776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Hsiao, Chen, Lin, &amp; Chen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（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2018</w:t>
            </w:r>
            <w:r w:rsidRPr="002F23F2">
              <w:rPr>
                <w:rFonts w:ascii="Times New Roman" w:eastAsia="標楷體" w:hAnsi="Times New Roman" w:cs="Times New Roman"/>
                <w:b w:val="0"/>
                <w:bCs w:val="0"/>
                <w:color w:val="000000" w:themeColor="text1"/>
                <w:szCs w:val="28"/>
              </w:rPr>
              <w:t>）</w:t>
            </w:r>
          </w:p>
        </w:tc>
        <w:tc>
          <w:tcPr>
            <w:tcW w:w="1842" w:type="dxa"/>
          </w:tcPr>
          <w:p w14:paraId="2DB51745" w14:textId="21CBD690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2F23F2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基於手勢的學習方法對學齡前兒童的學習成績，運動技能和運動行為的影響</w:t>
            </w:r>
          </w:p>
        </w:tc>
        <w:tc>
          <w:tcPr>
            <w:tcW w:w="1701" w:type="dxa"/>
          </w:tcPr>
          <w:p w14:paraId="174A7D26" w14:textId="27D1F28C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</w:tcPr>
          <w:p w14:paraId="1FAFCE6F" w14:textId="36EFC7D4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843" w:type="dxa"/>
          </w:tcPr>
          <w:p w14:paraId="368F3192" w14:textId="6B870C4D" w:rsidR="00B91D71" w:rsidRPr="00365A53" w:rsidRDefault="00B91D71" w:rsidP="00B91D71">
            <w:pPr>
              <w:adjustRightInd w:val="0"/>
              <w:snapToGrid w:val="0"/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</w:tbl>
    <w:p w14:paraId="5C9EF3A1" w14:textId="0213EFF8" w:rsidR="00B91D71" w:rsidRDefault="00365A53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65A5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資料來源：研究者自行整理</w:t>
      </w:r>
    </w:p>
    <w:p w14:paraId="51E9AFAB" w14:textId="77777777" w:rsidR="007800DB" w:rsidRPr="00E21BA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5ACEFA" w14:textId="77777777" w:rsidR="00E15508" w:rsidRDefault="00365A53" w:rsidP="003A52A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65A5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互動式體感遊戲之設備</w:t>
      </w:r>
    </w:p>
    <w:p w14:paraId="577B5B49" w14:textId="16AB3841" w:rsidR="00B91D71" w:rsidRDefault="00A646AA" w:rsidP="007800DB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深度攝影機為互動式體感遊戲最重要的硬體設備，深度攝影機用</w:t>
      </w:r>
      <w:r w:rsidR="007800DB" w:rsidRP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於手勢識別、身體活動識別、互動遊戲，近年來體感設備上，常見的設備採用微軟</w:t>
      </w:r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Kinect</w:t>
      </w:r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、華碩</w:t>
      </w:r>
      <w:proofErr w:type="spellStart"/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Xtion</w:t>
      </w:r>
      <w:proofErr w:type="spellEnd"/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。。本研究將較常用體感設備進行比較，如表</w:t>
      </w:r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2-2</w:t>
      </w:r>
      <w:r w:rsidR="007800DB" w:rsidRPr="007800D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所示。</w:t>
      </w:r>
    </w:p>
    <w:tbl>
      <w:tblPr>
        <w:tblStyle w:val="24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2807"/>
        <w:gridCol w:w="2276"/>
        <w:gridCol w:w="2230"/>
      </w:tblGrid>
      <w:tr w:rsidR="00B91D71" w:rsidRPr="00B91D71" w14:paraId="3C01EB9E" w14:textId="77777777" w:rsidTr="00DB0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1833B7D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280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28DCE87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spellStart"/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Orbbec</w:t>
            </w:r>
            <w:proofErr w:type="spellEnd"/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Astra Pro</w:t>
            </w:r>
          </w:p>
        </w:tc>
        <w:tc>
          <w:tcPr>
            <w:tcW w:w="2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538D9A7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微軟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Kinect</w:t>
            </w:r>
          </w:p>
        </w:tc>
        <w:tc>
          <w:tcPr>
            <w:tcW w:w="22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1029B05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華碩</w:t>
            </w:r>
            <w:proofErr w:type="spellStart"/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Xtion</w:t>
            </w:r>
            <w:proofErr w:type="spellEnd"/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PRO</w:t>
            </w:r>
          </w:p>
        </w:tc>
      </w:tr>
      <w:tr w:rsidR="00B91D71" w:rsidRPr="00B91D71" w14:paraId="4B437706" w14:textId="77777777" w:rsidTr="00DB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12" w:space="0" w:color="000000" w:themeColor="text1"/>
            </w:tcBorders>
          </w:tcPr>
          <w:p w14:paraId="30B8D1A2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圖片</w:t>
            </w:r>
          </w:p>
        </w:tc>
        <w:tc>
          <w:tcPr>
            <w:tcW w:w="2807" w:type="dxa"/>
            <w:tcBorders>
              <w:top w:val="single" w:sz="12" w:space="0" w:color="000000" w:themeColor="text1"/>
            </w:tcBorders>
          </w:tcPr>
          <w:p w14:paraId="3D4F0766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begin"/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instrText xml:space="preserve"> INCLUDEPICTURE "https://orbbec3d.com/wp-content/uploads/2019/02/astra-ICON-TOP-BAR.jpg" \* MERGEFORMATINET </w:instrTex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separate"/>
            </w:r>
            <w:r w:rsidRPr="00B91D71">
              <w:rPr>
                <w:rFonts w:ascii="Times New Roman" w:eastAsia="標楷體" w:hAnsi="Times New Roman" w:cs="Times New Roman"/>
                <w:noProof/>
                <w:color w:val="000000" w:themeColor="text1"/>
                <w:szCs w:val="28"/>
              </w:rPr>
              <w:drawing>
                <wp:inline distT="0" distB="0" distL="0" distR="0" wp14:anchorId="754ECC67" wp14:editId="6B0480C1">
                  <wp:extent cx="1558644" cy="904875"/>
                  <wp:effectExtent l="0" t="0" r="3810" b="0"/>
                  <wp:docPr id="2" name="圖片 2" descr="ãOrbbec Astra Proãçåçæå°çµæ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ãOrbbec Astra Proãçåçæå°çµæ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916" cy="92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end"/>
            </w:r>
          </w:p>
        </w:tc>
        <w:tc>
          <w:tcPr>
            <w:tcW w:w="2276" w:type="dxa"/>
            <w:tcBorders>
              <w:top w:val="single" w:sz="12" w:space="0" w:color="000000" w:themeColor="text1"/>
            </w:tcBorders>
          </w:tcPr>
          <w:p w14:paraId="1BDB9BD7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begin"/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instrText xml:space="preserve"> INCLUDEPICTURE "https://s.blogcdn.com/cn.engadget.com/media/2012/05/k4w-sensorangle.jpg" \* MERGEFORMATINET </w:instrTex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separate"/>
            </w:r>
            <w:r w:rsidRPr="00B91D71">
              <w:rPr>
                <w:rFonts w:ascii="Times New Roman" w:eastAsia="標楷體" w:hAnsi="Times New Roman" w:cs="Times New Roman"/>
                <w:noProof/>
                <w:color w:val="000000" w:themeColor="text1"/>
                <w:szCs w:val="28"/>
              </w:rPr>
              <w:drawing>
                <wp:inline distT="0" distB="0" distL="0" distR="0" wp14:anchorId="26CC5756" wp14:editId="083F5563">
                  <wp:extent cx="1303020" cy="905172"/>
                  <wp:effectExtent l="0" t="0" r="5080" b="0"/>
                  <wp:docPr id="77" name="圖片 77" descr="ç¸éåç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ç¸éåç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003" cy="92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end"/>
            </w:r>
          </w:p>
        </w:tc>
        <w:tc>
          <w:tcPr>
            <w:tcW w:w="2230" w:type="dxa"/>
            <w:tcBorders>
              <w:top w:val="single" w:sz="12" w:space="0" w:color="000000" w:themeColor="text1"/>
            </w:tcBorders>
          </w:tcPr>
          <w:p w14:paraId="52F63B08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begin"/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instrText xml:space="preserve"> INCLUDEPICTURE "https://cf1.s3.souqcdn.com/item/60/07/30/item_XL_600730_544815.jpg" \* MERGEFORMATINET </w:instrTex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separate"/>
            </w:r>
            <w:r w:rsidRPr="00B91D71">
              <w:rPr>
                <w:rFonts w:ascii="Times New Roman" w:eastAsia="標楷體" w:hAnsi="Times New Roman" w:cs="Times New Roman"/>
                <w:noProof/>
                <w:color w:val="000000" w:themeColor="text1"/>
                <w:szCs w:val="28"/>
              </w:rPr>
              <w:drawing>
                <wp:inline distT="0" distB="0" distL="0" distR="0" wp14:anchorId="00BB73F6" wp14:editId="325C524D">
                  <wp:extent cx="1245235" cy="883027"/>
                  <wp:effectExtent l="0" t="0" r="0" b="6350"/>
                  <wp:docPr id="79" name="圖片 79" descr="ãXtion PROãçåçæå°çµæ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ãXtion PROãçåçæå°çµæ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195" cy="93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fldChar w:fldCharType="end"/>
            </w:r>
          </w:p>
        </w:tc>
      </w:tr>
      <w:tr w:rsidR="00B91D71" w:rsidRPr="00B91D71" w14:paraId="3FEA2581" w14:textId="77777777" w:rsidTr="00DB0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3A0834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技術</w:t>
            </w:r>
          </w:p>
        </w:tc>
        <w:tc>
          <w:tcPr>
            <w:tcW w:w="2807" w:type="dxa"/>
          </w:tcPr>
          <w:p w14:paraId="2B59A9BA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3D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相機技術</w:t>
            </w:r>
          </w:p>
        </w:tc>
        <w:tc>
          <w:tcPr>
            <w:tcW w:w="2276" w:type="dxa"/>
          </w:tcPr>
          <w:p w14:paraId="29D121B5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Light Coding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技術</w:t>
            </w:r>
          </w:p>
        </w:tc>
        <w:tc>
          <w:tcPr>
            <w:tcW w:w="2230" w:type="dxa"/>
          </w:tcPr>
          <w:p w14:paraId="5706EE20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可調整深度技術</w:t>
            </w:r>
          </w:p>
        </w:tc>
      </w:tr>
      <w:tr w:rsidR="00B91D71" w:rsidRPr="00B91D71" w14:paraId="3CABCBB6" w14:textId="77777777" w:rsidTr="00DB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ADA493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RGB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像素</w:t>
            </w:r>
          </w:p>
        </w:tc>
        <w:tc>
          <w:tcPr>
            <w:tcW w:w="2807" w:type="dxa"/>
          </w:tcPr>
          <w:p w14:paraId="648F65A8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1280 x 720 </w:t>
            </w:r>
          </w:p>
        </w:tc>
        <w:tc>
          <w:tcPr>
            <w:tcW w:w="2276" w:type="dxa"/>
          </w:tcPr>
          <w:p w14:paraId="6C3BB818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1280 x 960</w:t>
            </w:r>
          </w:p>
        </w:tc>
        <w:tc>
          <w:tcPr>
            <w:tcW w:w="2230" w:type="dxa"/>
          </w:tcPr>
          <w:p w14:paraId="4A12574C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640 x 480</w:t>
            </w:r>
          </w:p>
        </w:tc>
      </w:tr>
      <w:tr w:rsidR="00B91D71" w:rsidRPr="00B91D71" w14:paraId="78A95D5F" w14:textId="77777777" w:rsidTr="00DB0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7F7F7F" w:themeColor="text1" w:themeTint="80"/>
            </w:tcBorders>
          </w:tcPr>
          <w:p w14:paraId="25B2DB70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最佳範圍</w:t>
            </w:r>
          </w:p>
        </w:tc>
        <w:tc>
          <w:tcPr>
            <w:tcW w:w="2807" w:type="dxa"/>
            <w:tcBorders>
              <w:bottom w:val="single" w:sz="4" w:space="0" w:color="7F7F7F" w:themeColor="text1" w:themeTint="80"/>
            </w:tcBorders>
          </w:tcPr>
          <w:p w14:paraId="599914C1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60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公分至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8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公尺</w:t>
            </w:r>
          </w:p>
        </w:tc>
        <w:tc>
          <w:tcPr>
            <w:tcW w:w="2276" w:type="dxa"/>
            <w:tcBorders>
              <w:bottom w:val="single" w:sz="4" w:space="0" w:color="7F7F7F" w:themeColor="text1" w:themeTint="80"/>
            </w:tcBorders>
          </w:tcPr>
          <w:p w14:paraId="60BE0B60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1.2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公尺至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3.5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公尺</w:t>
            </w:r>
          </w:p>
        </w:tc>
        <w:tc>
          <w:tcPr>
            <w:tcW w:w="2230" w:type="dxa"/>
            <w:tcBorders>
              <w:bottom w:val="single" w:sz="4" w:space="0" w:color="7F7F7F" w:themeColor="text1" w:themeTint="80"/>
            </w:tcBorders>
          </w:tcPr>
          <w:p w14:paraId="75C744DA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0.8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公尺至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3.5</w:t>
            </w: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公尺</w:t>
            </w:r>
          </w:p>
        </w:tc>
      </w:tr>
      <w:tr w:rsidR="00B91D71" w:rsidRPr="00B91D71" w14:paraId="120F702B" w14:textId="77777777" w:rsidTr="00DB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12" w:space="0" w:color="000000" w:themeColor="text1"/>
            </w:tcBorders>
          </w:tcPr>
          <w:p w14:paraId="14700139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連接器</w:t>
            </w:r>
          </w:p>
        </w:tc>
        <w:tc>
          <w:tcPr>
            <w:tcW w:w="2807" w:type="dxa"/>
            <w:tcBorders>
              <w:bottom w:val="single" w:sz="12" w:space="0" w:color="000000" w:themeColor="text1"/>
            </w:tcBorders>
          </w:tcPr>
          <w:p w14:paraId="27EB96FD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USB 2.0</w:t>
            </w:r>
          </w:p>
        </w:tc>
        <w:tc>
          <w:tcPr>
            <w:tcW w:w="2276" w:type="dxa"/>
            <w:tcBorders>
              <w:bottom w:val="single" w:sz="12" w:space="0" w:color="000000" w:themeColor="text1"/>
            </w:tcBorders>
          </w:tcPr>
          <w:p w14:paraId="140C32FE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USB Type-A</w:t>
            </w:r>
          </w:p>
        </w:tc>
        <w:tc>
          <w:tcPr>
            <w:tcW w:w="2230" w:type="dxa"/>
            <w:tcBorders>
              <w:bottom w:val="single" w:sz="12" w:space="0" w:color="000000" w:themeColor="text1"/>
            </w:tcBorders>
          </w:tcPr>
          <w:p w14:paraId="330CEDE6" w14:textId="77777777" w:rsidR="00B91D71" w:rsidRPr="00B91D71" w:rsidRDefault="00B91D71" w:rsidP="00B91D71">
            <w:pPr>
              <w:adjustRightInd w:val="0"/>
              <w:snapToGri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B91D71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USB 2.0</w:t>
            </w:r>
          </w:p>
        </w:tc>
      </w:tr>
    </w:tbl>
    <w:p w14:paraId="130FD6C7" w14:textId="77777777" w:rsidR="00E15508" w:rsidRPr="00E15508" w:rsidRDefault="00E15508" w:rsidP="00E15508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BB28CE7" w14:textId="07D13BAC" w:rsidR="007D2279" w:rsidRDefault="007800DB" w:rsidP="00E15508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03AC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highlight w:val="yellow"/>
        </w:rPr>
        <w:lastRenderedPageBreak/>
        <w:t>根據比較表可知，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 Astra Pro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不論是相機技術、像素、範圍等，皆優於微軟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Kinect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、華碩</w:t>
      </w:r>
      <w:proofErr w:type="spellStart"/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Xtion</w:t>
      </w:r>
      <w:proofErr w:type="spellEnd"/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，因為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 Astra Pro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感測器最著名為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3D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相機，可提供數十種功能，如人臉辨識、身體識別、人體骨架識別、環境感知等功能，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成立於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2013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年，總部設於深圳，目前致力於成為全球第一的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3D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感測器供應商，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是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Kinect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最可靠的替代品，且工作方式與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Kinect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骨架跟蹤類似，且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 SDK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可完全支持目前最為使用編輯軟體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Unity 3D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，因此開發者可用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進</w:t>
      </w:r>
      <w:r w:rsidRPr="00F03AC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highlight w:val="yellow"/>
        </w:rPr>
        <w:t>行產品開發（</w:t>
      </w:r>
      <w:proofErr w:type="spellStart"/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Orbbec</w:t>
      </w:r>
      <w:proofErr w:type="spellEnd"/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, 2019</w:t>
      </w:r>
      <w:r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）</w:t>
      </w:r>
      <w:r w:rsidR="00E15508" w:rsidRPr="00F03ACB">
        <w:rPr>
          <w:rFonts w:ascii="Times New Roman" w:eastAsia="標楷體" w:hAnsi="Times New Roman" w:cs="Times New Roman"/>
          <w:color w:val="000000" w:themeColor="text1"/>
          <w:sz w:val="28"/>
          <w:szCs w:val="28"/>
          <w:highlight w:val="yellow"/>
        </w:rPr>
        <w:t>。</w:t>
      </w:r>
    </w:p>
    <w:p w14:paraId="4A7F8E97" w14:textId="63B253BC" w:rsidR="007800DB" w:rsidRDefault="007800DB" w:rsidP="007800DB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E1550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本研究遊戲軟體開發使用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Unity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Unity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是一款可跨平台且支援多平台開發，如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Windows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MacOS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Linux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Android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等平台，能直接匯出無需二次開發，是一個強大的遊戲開發系統，提供多樣化工具和功能及支援多平台發佈（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Unity, 20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21</w:t>
      </w:r>
      <w:r w:rsidRPr="00E1550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）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。</w:t>
      </w:r>
    </w:p>
    <w:p w14:paraId="2CC448BA" w14:textId="29F02502" w:rsidR="00CF6A10" w:rsidRDefault="007800DB" w:rsidP="007800DB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依據上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述</w:t>
      </w:r>
      <w:r w:rsidRP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關於互動式體感遊戲之文獻探討，本研究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在教學實驗中</w:t>
      </w:r>
      <w:r w:rsidRP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以互動式體感遊戲為教學教材，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並</w:t>
      </w:r>
      <w:r w:rsidRPr="007800D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探討學習者的執行功能、動作技能以及學習成效。</w:t>
      </w:r>
    </w:p>
    <w:p w14:paraId="56C192BB" w14:textId="5B270259" w:rsidR="007800DB" w:rsidRP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291F830" w14:textId="34EAF379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48B3EFA" w14:textId="5CFBDB61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1BFAEB" w14:textId="5D75EBAD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FDF31AE" w14:textId="00818DEC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52E4292" w14:textId="5ABC987B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03289ED" w14:textId="7DE1F826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0F9CCB4" w14:textId="6A2EFBD1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77F6661" w14:textId="5D876ED4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B3A1D2" w14:textId="1953B0DC" w:rsidR="007800DB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12CFDB2" w14:textId="77777777" w:rsidR="007800DB" w:rsidRPr="00230AB1" w:rsidRDefault="007800DB" w:rsidP="00B91D71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Arial" w:hint="eastAsia"/>
          <w:color w:val="000000" w:themeColor="text1"/>
          <w:sz w:val="28"/>
          <w:szCs w:val="28"/>
          <w:shd w:val="clear" w:color="auto" w:fill="FFFFFF"/>
        </w:rPr>
      </w:pPr>
    </w:p>
    <w:p w14:paraId="66C9B35C" w14:textId="77777777" w:rsidR="007A3B74" w:rsidRPr="002935BC" w:rsidRDefault="007A3B74" w:rsidP="00365A53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bookmarkStart w:id="17" w:name="_Toc31725321"/>
      <w:bookmarkStart w:id="18" w:name="_Toc523837204"/>
      <w:bookmarkStart w:id="19" w:name="_Toc523837444"/>
      <w:bookmarkStart w:id="20" w:name="_Toc523837878"/>
      <w:bookmarkStart w:id="21" w:name="_Toc523852842"/>
      <w:bookmarkStart w:id="22" w:name="_Toc523852924"/>
      <w:bookmarkStart w:id="23" w:name="_Toc523908430"/>
      <w:bookmarkStart w:id="24" w:name="_Toc523908555"/>
      <w:r w:rsidRPr="000F72A7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二</w:t>
      </w:r>
      <w:r w:rsidRPr="000F72A7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節 動作技能</w:t>
      </w:r>
      <w:bookmarkEnd w:id="17"/>
    </w:p>
    <w:p w14:paraId="62F2C9F4" w14:textId="417DF3B6" w:rsidR="007A3B74" w:rsidRPr="0081536D" w:rsidRDefault="004760AF" w:rsidP="00C77161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動作技能發展是指在個人的整個生命週期中，發展相關的運動能力變化的持續發展過程（</w:t>
      </w:r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Haywood &amp; Getchell, 2019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），而</w:t>
      </w:r>
      <w:r w:rsidR="00AF66F8" w:rsidRPr="00AF66F8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學齡前孩童為習得動作技能之關鍵時期</w:t>
      </w:r>
      <w:r w:rsidR="00AF66F8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，教育部於</w:t>
      </w:r>
      <w:r w:rsidR="00AF66F8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2017</w:t>
      </w:r>
      <w:r w:rsidR="00AF66F8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發表的</w:t>
      </w:r>
      <w:r w:rsidR="007A3B74"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「幼兒園教保活動課程大綱」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如果能靈活運用身體自主的行動，就會有能力掌握身體在動態或靜態的平衡與協調，也會有能力照顧自己</w:t>
      </w:r>
      <w:r w:rsidR="007A3B74"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。</w:t>
      </w:r>
      <w:r w:rsidR="00AC718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動作</w:t>
      </w:r>
      <w:r w:rsidR="00AC718C" w:rsidRPr="00AC718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技能</w:t>
      </w:r>
      <w:r w:rsidR="00AC718C" w:rsidRPr="00AC718C">
        <w:rPr>
          <w:rFonts w:ascii="Times New Roman" w:eastAsia="標楷體" w:hAnsi="Times New Roman"/>
          <w:color w:val="000000" w:themeColor="text1"/>
          <w:sz w:val="28"/>
          <w:szCs w:val="28"/>
        </w:rPr>
        <w:t>是一系列</w:t>
      </w:r>
      <w:r w:rsidR="00AC718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動作能力</w:t>
      </w:r>
      <w:r w:rsidR="00AC718C" w:rsidRPr="00AC718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的</w:t>
      </w:r>
      <w:r w:rsidR="00AC718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整合</w:t>
      </w:r>
      <w:r w:rsidR="00C77161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</w:t>
      </w:r>
      <w:r w:rsidR="00C77161" w:rsidRPr="00C77161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包括位移技能（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跑、跳等）、物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體控制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技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能（拍球、接球等）和穩定技能（平衡、旋轉等）（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Barnett et al.,2016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）。基本動作技能與兒童青少年的身體活動（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Holfelder et al.,2014; Logan etal.,2015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、肥胖（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Henrique et al.,2016; O’Brien et al.,2016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）、健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康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體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適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能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（</w:t>
      </w:r>
      <w:proofErr w:type="spellStart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Cattuzzo</w:t>
      </w:r>
      <w:proofErr w:type="spellEnd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et al.,2016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、社會及認知能力（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Leonard et al.,2014; </w:t>
      </w:r>
      <w:proofErr w:type="spellStart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Lubans</w:t>
      </w:r>
      <w:proofErr w:type="spellEnd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et al.,2010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）等健康發展方面有顯著的關系。兒童青少年基本動作技能水平對提高體育教育質量（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Goodway et al.,2014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）、促進健康（</w:t>
      </w:r>
      <w:proofErr w:type="spellStart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Lubans</w:t>
      </w:r>
      <w:proofErr w:type="spellEnd"/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et al.,2010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）和全面發展（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Hill,2010</w:t>
      </w:r>
      <w:r w:rsidR="00C77161" w:rsidRPr="00C77161">
        <w:rPr>
          <w:rFonts w:ascii="Times New Roman" w:eastAsia="標楷體" w:hAnsi="Times New Roman"/>
          <w:color w:val="000000" w:themeColor="text1"/>
          <w:sz w:val="28"/>
          <w:szCs w:val="28"/>
        </w:rPr>
        <w:t>）等方面具有重要的意義。</w:t>
      </w:r>
    </w:p>
    <w:p w14:paraId="173A874F" w14:textId="77777777" w:rsidR="007A3B74" w:rsidRPr="0081536D" w:rsidRDefault="007A3B74" w:rsidP="00365A53">
      <w:pPr>
        <w:adjustRightInd w:val="0"/>
        <w:snapToGrid w:val="0"/>
        <w:spacing w:line="360" w:lineRule="auto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（一）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穩定性動作技能（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Stability skills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）</w:t>
      </w:r>
    </w:p>
    <w:p w14:paraId="3B65AA3B" w14:textId="77777777" w:rsidR="007A3B74" w:rsidRPr="0081536D" w:rsidRDefault="007A3B74" w:rsidP="00365A53">
      <w:pPr>
        <w:adjustRightInd w:val="0"/>
        <w:snapToGrid w:val="0"/>
        <w:spacing w:line="360" w:lineRule="auto"/>
        <w:ind w:firstLineChars="200" w:firstLine="56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它是一種使身體保持在一定水平或垂直的形式，也能在某個定點做出來的動作表現。如：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t>伸展、蹲、單腳站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。</w:t>
      </w:r>
    </w:p>
    <w:p w14:paraId="46406CAE" w14:textId="77777777" w:rsidR="007A3B74" w:rsidRPr="0081536D" w:rsidRDefault="007A3B74" w:rsidP="00365A53">
      <w:pPr>
        <w:adjustRightInd w:val="0"/>
        <w:snapToGrid w:val="0"/>
        <w:spacing w:line="360" w:lineRule="auto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（二）操作性動作技能（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Object manipulation skills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）</w:t>
      </w:r>
    </w:p>
    <w:p w14:paraId="3096217C" w14:textId="77777777" w:rsidR="007A3B74" w:rsidRPr="0081536D" w:rsidRDefault="007A3B74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它是一個將基本動作更為精緻化的過程，包括給予或接受某物體的力量，也就是幼兒藉由物體作出有意義的動作。如：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t>打擊、踢、投球、原地拍球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。</w:t>
      </w:r>
    </w:p>
    <w:p w14:paraId="0A8F5676" w14:textId="77777777" w:rsidR="007A3B74" w:rsidRPr="0081536D" w:rsidRDefault="007A3B74" w:rsidP="00365A53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（三）移動性動作技能（</w:t>
      </w:r>
      <w:r w:rsidRPr="005021C1">
        <w:rPr>
          <w:rFonts w:ascii="Times New Roman" w:hAnsi="Times New Roman" w:cs="Times New Roman"/>
          <w:color w:val="000000"/>
          <w:sz w:val="28"/>
          <w:szCs w:val="28"/>
        </w:rPr>
        <w:t>Mobility</w:t>
      </w:r>
      <w:r w:rsidRPr="005021C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skills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）</w:t>
      </w:r>
    </w:p>
    <w:p w14:paraId="37F49A20" w14:textId="77777777" w:rsidR="007A3B74" w:rsidRPr="0081536D" w:rsidRDefault="007A3B74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它是由身體從一個地點移動至另一個地點所做出的動作。如：跑、單腳跳、跨跳、雙腳跳、滑步側移。</w:t>
      </w:r>
    </w:p>
    <w:p w14:paraId="3DC98C60" w14:textId="0E20B36B" w:rsidR="007A3B74" w:rsidRDefault="00C77161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lastRenderedPageBreak/>
        <w:t>根據運動使用的肌肉程度，可以將動作技能為肌肉的活動和動作分為大肌肉的「粗大動作」（</w:t>
      </w:r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Gross motor skill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）與小肌肉的精細動作（</w:t>
      </w:r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Fine motor skill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）（</w:t>
      </w:r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 xml:space="preserve">Singh, Rahman, </w:t>
      </w:r>
      <w:proofErr w:type="spellStart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Rajikan</w:t>
      </w:r>
      <w:proofErr w:type="spellEnd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Zainudin</w:t>
      </w:r>
      <w:proofErr w:type="spellEnd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Nordin</w:t>
      </w:r>
      <w:proofErr w:type="spellEnd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, Karim, &amp; Yee, 2015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），兒童青少年的粗大技能對於自身的體適能、身體活動、肌肉力</w:t>
      </w:r>
      <w:r w:rsidR="00020F60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量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以及肌肉耐力等肌肉相關能力都具有顯著的影響，同時粗大動作的發展也有</w:t>
      </w:r>
      <w:bookmarkStart w:id="25" w:name="OLE_LINK3"/>
      <w:bookmarkStart w:id="26" w:name="OLE_LINK4"/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兒童未來生活方式和身體活動水平的提升</w:t>
      </w:r>
      <w:bookmarkEnd w:id="25"/>
      <w:bookmarkEnd w:id="26"/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（</w:t>
      </w:r>
      <w:proofErr w:type="spellStart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Althoff</w:t>
      </w:r>
      <w:proofErr w:type="spellEnd"/>
      <w:r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, 201</w:t>
      </w:r>
      <w:r w:rsidR="00020F60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7 &amp; Vane, 2017</w:t>
      </w:r>
      <w:r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）</w:t>
      </w:r>
      <w:r w:rsid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；</w:t>
      </w:r>
      <w:r w:rsidR="00F03ACB" w:rsidRP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精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細動作</w:t>
      </w:r>
      <w:r w:rsid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主要</w:t>
      </w:r>
      <w:r w:rsidR="00F03ACB" w:rsidRP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是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手部肌肉和腦神經發展的</w:t>
      </w:r>
      <w:r w:rsid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一種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呈現，也</w:t>
      </w:r>
      <w:r w:rsid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可以說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是手眼協調的能力，</w:t>
      </w:r>
      <w:r w:rsid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例如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透過手部協調並操作</w:t>
      </w:r>
      <w:r w:rsidR="00F03ACB" w:rsidRPr="00F03ACB">
        <w:rPr>
          <w:rFonts w:ascii="Times New Roman" w:eastAsia="標楷體" w:hAnsi="Times New Roman" w:cs="標楷體" w:hint="eastAsia"/>
          <w:color w:val="000000" w:themeColor="text1"/>
          <w:sz w:val="28"/>
          <w:szCs w:val="28"/>
          <w:shd w:val="clear" w:color="auto" w:fill="FFFFFF"/>
        </w:rPr>
        <w:t>物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品，從中建立物品具體概念，並從手部動作協調操作經驗中提升幼兒的認知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(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曾鴻家等人，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2018</w:t>
      </w:r>
      <w:r w:rsidR="00F03ACB" w:rsidRPr="00F03ACB">
        <w:rPr>
          <w:rFonts w:ascii="Times New Roman" w:eastAsia="標楷體" w:hAnsi="Times New Roman" w:cs="標楷體"/>
          <w:color w:val="000000" w:themeColor="text1"/>
          <w:sz w:val="28"/>
          <w:szCs w:val="28"/>
          <w:shd w:val="clear" w:color="auto" w:fill="FFFFFF"/>
        </w:rPr>
        <w:t>）。</w:t>
      </w:r>
    </w:p>
    <w:p w14:paraId="710A6632" w14:textId="2774F815" w:rsidR="006D42D1" w:rsidRPr="006D42D1" w:rsidRDefault="006D42D1" w:rsidP="006D42D1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 w:hint="eastAsia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幼兒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在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練習穩定性動作技能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、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操作性動作技能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以及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移動性動作技能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時可以加強幼兒的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認知發展與學習，而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並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非只有單純的運動（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Clark, 2005; Lindsay et al., 2018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）。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幼兒需要有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足夠</w:t>
      </w:r>
      <w:r w:rsidRPr="0081536D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的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時間來發展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粗大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動作與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精細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動作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，否則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無法將所有的技能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發展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完全</w:t>
      </w:r>
      <w:r w:rsidRPr="0081536D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（</w:t>
      </w:r>
      <w:r w:rsidRPr="0081536D">
        <w:rPr>
          <w:rFonts w:ascii="Times New Roman" w:eastAsia="標楷體" w:hAnsi="Times New Roman" w:cs="Times New Roman"/>
          <w:sz w:val="28"/>
          <w:szCs w:val="28"/>
        </w:rPr>
        <w:t xml:space="preserve">Cleland &amp; </w:t>
      </w:r>
      <w:proofErr w:type="spellStart"/>
      <w:r w:rsidRPr="0081536D">
        <w:rPr>
          <w:rFonts w:ascii="Times New Roman" w:eastAsia="標楷體" w:hAnsi="Times New Roman" w:cs="Times New Roman"/>
          <w:sz w:val="28"/>
          <w:szCs w:val="28"/>
        </w:rPr>
        <w:t>Gallahue</w:t>
      </w:r>
      <w:proofErr w:type="spellEnd"/>
      <w:r w:rsidRPr="0081536D">
        <w:rPr>
          <w:rFonts w:ascii="Times New Roman" w:eastAsia="標楷體" w:hAnsi="Times New Roman" w:cs="Times New Roman"/>
          <w:sz w:val="28"/>
          <w:szCs w:val="28"/>
        </w:rPr>
        <w:t xml:space="preserve">, 1993; 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Haywood</w:t>
      </w:r>
      <w:r w:rsidRPr="0081536D">
        <w:rPr>
          <w:rFonts w:ascii="Times New Roman" w:eastAsia="標楷體" w:hAnsi="Times New Roman" w:cs="Times New Roman"/>
          <w:sz w:val="28"/>
          <w:szCs w:val="28"/>
        </w:rPr>
        <w:t xml:space="preserve"> &amp; 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  <w:shd w:val="clear" w:color="auto" w:fill="FFFFFF"/>
        </w:rPr>
        <w:t>Getchell, 2018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）。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特別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是操作性動作需要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大量</w:t>
      </w:r>
      <w:r w:rsidRPr="0081536D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時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間訓練，而最為基礎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的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穩定性動作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是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各個動作中皆需要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的基礎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要有良好的穩定性動作</w:t>
      </w:r>
      <w:r w:rsidRPr="0081536D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才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能把動作做好（</w:t>
      </w:r>
      <w:proofErr w:type="spellStart"/>
      <w:r w:rsidRPr="0081536D">
        <w:rPr>
          <w:rFonts w:ascii="Times New Roman" w:eastAsia="標楷體" w:hAnsi="Times New Roman" w:cs="Times New Roman"/>
          <w:sz w:val="28"/>
          <w:szCs w:val="28"/>
        </w:rPr>
        <w:t>Gallahue</w:t>
      </w:r>
      <w:proofErr w:type="spellEnd"/>
      <w:r w:rsidRPr="0081536D">
        <w:rPr>
          <w:rFonts w:ascii="Times New Roman" w:eastAsia="標楷體" w:hAnsi="Times New Roman" w:cs="Times New Roman"/>
          <w:sz w:val="28"/>
          <w:szCs w:val="28"/>
        </w:rPr>
        <w:t>著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，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t>許義雄譯，</w:t>
      </w:r>
      <w:r w:rsidRPr="0081536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2004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）。</w:t>
      </w:r>
    </w:p>
    <w:p w14:paraId="5B922EE9" w14:textId="788F3F7F" w:rsidR="00971285" w:rsidRPr="00831C21" w:rsidRDefault="00971285" w:rsidP="00971285">
      <w:pPr>
        <w:adjustRightInd w:val="0"/>
        <w:snapToGrid w:val="0"/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本研究針對幼兒園大班（五至六歲），動作技能以「穩定性」與「操作性」及「移動性」為主，利用體感互動遊戲進行訓練。動作技能設計參考了國內各政府機關，來評估幼兒</w:t>
      </w:r>
      <w:r w:rsidRPr="0081536D">
        <w:rPr>
          <w:rFonts w:ascii="Times New Roman" w:eastAsia="標楷體" w:hAnsi="Times New Roman"/>
          <w:sz w:val="28"/>
          <w:szCs w:val="28"/>
        </w:rPr>
        <w:t>遊戲動作設計，衛生福利部國民健康署（</w:t>
      </w:r>
      <w:r w:rsidRPr="0081536D">
        <w:rPr>
          <w:rFonts w:ascii="Times New Roman" w:eastAsia="標楷體" w:hAnsi="Times New Roman" w:cs="Times New Roman"/>
          <w:sz w:val="28"/>
          <w:szCs w:val="28"/>
        </w:rPr>
        <w:t>2016</w:t>
      </w:r>
      <w:r w:rsidRPr="0081536D">
        <w:rPr>
          <w:rFonts w:ascii="Times New Roman" w:eastAsia="標楷體" w:hAnsi="Times New Roman"/>
          <w:sz w:val="28"/>
          <w:szCs w:val="28"/>
        </w:rPr>
        <w:t>）的兒童發展連續圖、台北慈濟醫院（</w:t>
      </w:r>
      <w:r w:rsidRPr="0081536D">
        <w:rPr>
          <w:rFonts w:ascii="Times New Roman" w:eastAsia="標楷體" w:hAnsi="Times New Roman" w:cs="Times New Roman"/>
          <w:sz w:val="28"/>
          <w:szCs w:val="28"/>
        </w:rPr>
        <w:t>2014</w:t>
      </w:r>
      <w:r w:rsidRPr="0081536D">
        <w:rPr>
          <w:rFonts w:ascii="Times New Roman" w:eastAsia="標楷體" w:hAnsi="Times New Roman"/>
          <w:sz w:val="28"/>
          <w:szCs w:val="28"/>
        </w:rPr>
        <w:t>）的</w:t>
      </w:r>
      <w:r w:rsidRPr="0081536D">
        <w:rPr>
          <w:rFonts w:ascii="Times New Roman" w:eastAsia="標楷體" w:hAnsi="Times New Roman" w:cs="Times New Roman"/>
          <w:sz w:val="28"/>
          <w:szCs w:val="28"/>
        </w:rPr>
        <w:t>0~6</w:t>
      </w:r>
      <w:r w:rsidRPr="0081536D">
        <w:rPr>
          <w:rFonts w:ascii="Times New Roman" w:eastAsia="標楷體" w:hAnsi="Times New Roman"/>
          <w:sz w:val="28"/>
          <w:szCs w:val="28"/>
        </w:rPr>
        <w:t>歲兒童發展里程碑、台北政府衛生局（</w:t>
      </w:r>
      <w:r w:rsidRPr="0081536D">
        <w:rPr>
          <w:rFonts w:ascii="Times New Roman" w:eastAsia="標楷體" w:hAnsi="Times New Roman" w:cs="Times New Roman"/>
          <w:sz w:val="28"/>
          <w:szCs w:val="28"/>
        </w:rPr>
        <w:t>2017</w:t>
      </w:r>
      <w:r w:rsidRPr="0081536D">
        <w:rPr>
          <w:rFonts w:ascii="Times New Roman" w:eastAsia="標楷體" w:hAnsi="Times New Roman"/>
          <w:sz w:val="28"/>
          <w:szCs w:val="28"/>
        </w:rPr>
        <w:t>）制定的兒童發展檢核表、幼兒園教保活動課程大綱（</w:t>
      </w:r>
      <w:r w:rsidRPr="0081536D">
        <w:rPr>
          <w:rFonts w:ascii="Times New Roman" w:eastAsia="標楷體" w:hAnsi="Times New Roman" w:cs="Times New Roman"/>
          <w:sz w:val="28"/>
          <w:szCs w:val="28"/>
        </w:rPr>
        <w:t>2017</w:t>
      </w:r>
      <w:r w:rsidRPr="0081536D">
        <w:rPr>
          <w:rFonts w:ascii="Times New Roman" w:eastAsia="標楷體" w:hAnsi="Times New Roman"/>
          <w:sz w:val="28"/>
          <w:szCs w:val="28"/>
        </w:rPr>
        <w:t>）等所制定</w:t>
      </w:r>
      <w:r>
        <w:rPr>
          <w:rFonts w:ascii="Times New Roman" w:eastAsia="標楷體" w:hAnsi="Times New Roman" w:hint="eastAsia"/>
          <w:sz w:val="28"/>
          <w:szCs w:val="28"/>
        </w:rPr>
        <w:t>的</w:t>
      </w:r>
      <w:r w:rsidRPr="0081536D">
        <w:rPr>
          <w:rFonts w:ascii="Times New Roman" w:eastAsia="標楷體" w:hAnsi="Times New Roman"/>
          <w:sz w:val="28"/>
          <w:szCs w:val="28"/>
        </w:rPr>
        <w:t>幼兒運動能力測驗修訂，提供幼兒動作技能檢測表。透過以上量表參考設計遊戲動作，包含穩定性動作：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t>伸展、蹲、單腳站</w:t>
      </w:r>
      <w:r w:rsidRPr="0081536D">
        <w:rPr>
          <w:rFonts w:ascii="Times New Roman" w:eastAsia="標楷體" w:hAnsi="Times New Roman"/>
          <w:sz w:val="28"/>
          <w:szCs w:val="28"/>
        </w:rPr>
        <w:t>，操作性動作：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t>打擊、踢、投球、</w:t>
      </w:r>
      <w:r w:rsidRPr="0081536D">
        <w:rPr>
          <w:rFonts w:ascii="Times New Roman" w:eastAsia="標楷體" w:hAnsi="Times New Roman" w:cs="ñœ°Oˇ"/>
          <w:color w:val="000000" w:themeColor="text1"/>
          <w:sz w:val="28"/>
          <w:szCs w:val="28"/>
        </w:rPr>
        <w:lastRenderedPageBreak/>
        <w:t>原地拍球</w:t>
      </w:r>
      <w:r w:rsidRPr="0081536D">
        <w:rPr>
          <w:rFonts w:ascii="Times New Roman" w:eastAsia="標楷體" w:hAnsi="Times New Roman"/>
          <w:sz w:val="28"/>
          <w:szCs w:val="28"/>
        </w:rPr>
        <w:t>等，移動性動作：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跑、單腳跳、跨跳、雙腳跳、滑步側移，</w:t>
      </w:r>
      <w:r w:rsidRPr="0081536D">
        <w:rPr>
          <w:rFonts w:ascii="Times New Roman" w:eastAsia="標楷體" w:hAnsi="Times New Roman"/>
          <w:sz w:val="28"/>
          <w:szCs w:val="28"/>
        </w:rPr>
        <w:t>十二個動作技能。</w:t>
      </w:r>
    </w:p>
    <w:bookmarkEnd w:id="18"/>
    <w:bookmarkEnd w:id="19"/>
    <w:bookmarkEnd w:id="20"/>
    <w:bookmarkEnd w:id="21"/>
    <w:bookmarkEnd w:id="22"/>
    <w:bookmarkEnd w:id="23"/>
    <w:bookmarkEnd w:id="24"/>
    <w:p w14:paraId="70303585" w14:textId="10D73E62" w:rsidR="006D42D1" w:rsidRPr="0081536D" w:rsidRDefault="006D42D1" w:rsidP="006D42D1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綜合上述觀點，幼兒動作發展上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對於幼兒的未來擁有重要的影響</w:t>
      </w:r>
      <w:r w:rsidRPr="0081536D">
        <w:rPr>
          <w:rFonts w:ascii="Times New Roman" w:eastAsia="標楷體" w:hAnsi="Times New Roman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且好的動作技能也可以提升幼兒的學習效果，因此本研究以動作技能作為主要的研究目標之一</w:t>
      </w:r>
      <w:r w:rsidRPr="0081536D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。</w:t>
      </w:r>
    </w:p>
    <w:p w14:paraId="6D66FF64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236086BB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491D80E2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0BE64CD9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1D1EE625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456FCD97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6D2F03E0" w14:textId="77777777" w:rsidR="007A3B74" w:rsidRDefault="007A3B74" w:rsidP="00365A53">
      <w:pPr>
        <w:spacing w:line="360" w:lineRule="auto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509CF921" w14:textId="77777777" w:rsidR="00230AB1" w:rsidRDefault="00230AB1" w:rsidP="00365A53">
      <w:pPr>
        <w:spacing w:line="360" w:lineRule="auto"/>
        <w:jc w:val="both"/>
        <w:rPr>
          <w:rFonts w:ascii="標楷體" w:eastAsia="標楷體" w:hAnsi="標楷體" w:cs="標楷體" w:hint="eastAsia"/>
          <w:color w:val="000000" w:themeColor="text1"/>
          <w:sz w:val="28"/>
          <w:szCs w:val="28"/>
        </w:rPr>
      </w:pPr>
    </w:p>
    <w:p w14:paraId="17F4D1C4" w14:textId="62A39C12" w:rsidR="00F52164" w:rsidRDefault="00F52164">
      <w:pPr>
        <w:rPr>
          <w:rFonts w:ascii="標楷體" w:eastAsia="標楷體" w:hAnsi="標楷體" w:cstheme="majorBidi" w:hint="eastAsia"/>
          <w:bCs/>
          <w:color w:val="000000" w:themeColor="text1"/>
          <w:sz w:val="32"/>
          <w:szCs w:val="32"/>
        </w:rPr>
      </w:pPr>
      <w:bookmarkStart w:id="27" w:name="_Toc523837203"/>
      <w:bookmarkStart w:id="28" w:name="_Toc523837443"/>
      <w:bookmarkStart w:id="29" w:name="_Toc523837877"/>
      <w:bookmarkStart w:id="30" w:name="_Toc523852841"/>
      <w:bookmarkStart w:id="31" w:name="_Toc523852923"/>
      <w:bookmarkStart w:id="32" w:name="_Toc523908429"/>
      <w:bookmarkStart w:id="33" w:name="_Toc523908554"/>
      <w:bookmarkStart w:id="34" w:name="_Toc31725322"/>
    </w:p>
    <w:p w14:paraId="6388E09A" w14:textId="77777777" w:rsidR="006D42D1" w:rsidRDefault="006D42D1">
      <w:pPr>
        <w:rPr>
          <w:rFonts w:ascii="標楷體" w:eastAsia="標楷體" w:hAnsi="標楷體" w:cstheme="majorBidi"/>
          <w:bCs/>
          <w:color w:val="000000" w:themeColor="text1"/>
          <w:sz w:val="32"/>
          <w:szCs w:val="32"/>
        </w:rPr>
      </w:pPr>
      <w:r>
        <w:rPr>
          <w:rFonts w:ascii="標楷體" w:eastAsia="標楷體" w:hAnsi="標楷體"/>
          <w:b/>
          <w:color w:val="000000" w:themeColor="text1"/>
          <w:sz w:val="32"/>
          <w:szCs w:val="32"/>
        </w:rPr>
        <w:br w:type="page"/>
      </w:r>
    </w:p>
    <w:p w14:paraId="5EA75CFD" w14:textId="39A75587" w:rsidR="007A3B74" w:rsidRPr="00A87392" w:rsidRDefault="007A3B74" w:rsidP="00365A53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r w:rsidRPr="006552F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三</w:t>
      </w:r>
      <w:r w:rsidRPr="006552F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 xml:space="preserve">節 </w:t>
      </w:r>
      <w:bookmarkEnd w:id="27"/>
      <w:bookmarkEnd w:id="28"/>
      <w:bookmarkEnd w:id="29"/>
      <w:bookmarkEnd w:id="30"/>
      <w:bookmarkEnd w:id="31"/>
      <w:bookmarkEnd w:id="32"/>
      <w:bookmarkEnd w:id="33"/>
      <w:r w:rsidRPr="006552F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執行功能</w:t>
      </w:r>
      <w:bookmarkEnd w:id="34"/>
    </w:p>
    <w:p w14:paraId="55A744BA" w14:textId="3DE5FC1F" w:rsidR="007A3B74" w:rsidRDefault="00F5216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8E7374">
        <w:rPr>
          <w:rFonts w:ascii="Times New Roman" w:hAnsi="Times New Roman" w:hint="eastAsia"/>
          <w:color w:val="000000" w:themeColor="text1"/>
          <w:szCs w:val="28"/>
        </w:rPr>
        <w:t>執行功能是一系列高階的認知過程，包括，</w:t>
      </w:r>
      <w:r>
        <w:rPr>
          <w:rFonts w:ascii="Times New Roman" w:hAnsi="Times New Roman" w:hint="eastAsia"/>
          <w:color w:val="000000" w:themeColor="text1"/>
          <w:szCs w:val="28"/>
        </w:rPr>
        <w:t>「</w:t>
      </w:r>
      <w:r w:rsidRPr="008E7374">
        <w:rPr>
          <w:rFonts w:ascii="Times New Roman" w:hAnsi="Times New Roman" w:hint="eastAsia"/>
          <w:color w:val="000000" w:themeColor="text1"/>
          <w:szCs w:val="28"/>
        </w:rPr>
        <w:t>工作記憶</w:t>
      </w:r>
      <w:r>
        <w:rPr>
          <w:rFonts w:ascii="Times New Roman" w:hAnsi="Times New Roman" w:hint="eastAsia"/>
          <w:color w:val="000000" w:themeColor="text1"/>
          <w:szCs w:val="28"/>
        </w:rPr>
        <w:t>」</w:t>
      </w:r>
      <w:r w:rsidRPr="008E7374">
        <w:rPr>
          <w:rFonts w:ascii="Times New Roman" w:hAnsi="Times New Roman" w:hint="eastAsia"/>
          <w:color w:val="000000" w:themeColor="text1"/>
          <w:szCs w:val="28"/>
        </w:rPr>
        <w:t>、</w:t>
      </w:r>
      <w:r>
        <w:rPr>
          <w:rFonts w:ascii="Times New Roman" w:hAnsi="Times New Roman" w:hint="eastAsia"/>
          <w:color w:val="000000" w:themeColor="text1"/>
          <w:szCs w:val="28"/>
        </w:rPr>
        <w:t>「</w:t>
      </w:r>
      <w:r w:rsidRPr="008E7374">
        <w:rPr>
          <w:rFonts w:ascii="Times New Roman" w:hAnsi="Times New Roman" w:hint="eastAsia"/>
          <w:color w:val="000000" w:themeColor="text1"/>
          <w:szCs w:val="28"/>
        </w:rPr>
        <w:t>抑制控制</w:t>
      </w:r>
      <w:r>
        <w:rPr>
          <w:rFonts w:ascii="Times New Roman" w:hAnsi="Times New Roman" w:hint="eastAsia"/>
          <w:color w:val="000000" w:themeColor="text1"/>
          <w:szCs w:val="28"/>
        </w:rPr>
        <w:t>」</w:t>
      </w:r>
      <w:r w:rsidRPr="008E7374">
        <w:rPr>
          <w:rFonts w:ascii="Times New Roman" w:hAnsi="Times New Roman" w:hint="eastAsia"/>
          <w:color w:val="000000" w:themeColor="text1"/>
          <w:szCs w:val="28"/>
        </w:rPr>
        <w:t>、</w:t>
      </w:r>
      <w:r>
        <w:rPr>
          <w:rFonts w:ascii="Times New Roman" w:hAnsi="Times New Roman" w:hint="eastAsia"/>
          <w:color w:val="000000" w:themeColor="text1"/>
          <w:szCs w:val="28"/>
        </w:rPr>
        <w:t>「</w:t>
      </w:r>
      <w:r w:rsidRPr="008E7374">
        <w:rPr>
          <w:rFonts w:ascii="Times New Roman" w:hAnsi="Times New Roman" w:hint="eastAsia"/>
          <w:color w:val="000000" w:themeColor="text1"/>
          <w:szCs w:val="28"/>
        </w:rPr>
        <w:t>認知靈活性</w:t>
      </w:r>
      <w:r>
        <w:rPr>
          <w:rFonts w:ascii="Times New Roman" w:hAnsi="Times New Roman" w:hint="eastAsia"/>
          <w:color w:val="000000" w:themeColor="text1"/>
          <w:szCs w:val="28"/>
        </w:rPr>
        <w:t>」</w:t>
      </w:r>
      <w:r w:rsidRPr="008E7374">
        <w:rPr>
          <w:rFonts w:ascii="Times New Roman" w:hAnsi="Times New Roman" w:hint="eastAsia"/>
          <w:color w:val="000000" w:themeColor="text1"/>
          <w:szCs w:val="28"/>
        </w:rPr>
        <w:t>（</w:t>
      </w:r>
      <w:proofErr w:type="spellStart"/>
      <w:r w:rsidRPr="008E7374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8E7374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Blair, &amp; Willoughby, 2016</w:t>
      </w:r>
      <w:r w:rsidRPr="008E7374">
        <w:rPr>
          <w:rFonts w:ascii="Times New Roman" w:hAnsi="Times New Roman" w:hint="eastAsia"/>
          <w:color w:val="000000" w:themeColor="text1"/>
          <w:szCs w:val="28"/>
        </w:rPr>
        <w:t>）。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前額葉皮質區的結構變化</w:t>
      </w:r>
      <w:r w:rsidR="007A3B74"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（如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有關不同訊息處理和行為能力</w:t>
      </w:r>
      <w:r w:rsidR="007A3B74"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）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會導致學齡前幼兒執行功能發育的顯著成長（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Goldstein, 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Naglieri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Princiotta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&amp; Otero, 2014</w:t>
      </w:r>
      <w:r w:rsidR="007A3B74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; </w:t>
      </w:r>
      <w:proofErr w:type="spellStart"/>
      <w:r w:rsidR="007A3B74" w:rsidRPr="0037428B"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Z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elazo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2016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</w:t>
      </w:r>
      <w:r w:rsidR="007A3B74"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並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有助於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幼兒提高動作技能及認知功能的正向發展，如：工作記憶、抑制控制的能力（</w:t>
      </w:r>
      <w:r w:rsidR="007A3B74" w:rsidRPr="0037428B">
        <w:rPr>
          <w:rFonts w:ascii="Times New Roman" w:hAnsi="Times New Roman" w:cs="Arial"/>
          <w:color w:val="000000" w:themeColor="text1"/>
          <w:szCs w:val="28"/>
          <w:shd w:val="clear" w:color="auto" w:fill="FFFFFF"/>
        </w:rPr>
        <w:t>王駿濠等人，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2012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）</w:t>
      </w:r>
      <w:r w:rsidR="007A3B74">
        <w:rPr>
          <w:rFonts w:ascii="Times New Roman" w:hAnsi="Times New Roman" w:hint="eastAsia"/>
          <w:color w:val="000000" w:themeColor="text1"/>
          <w:szCs w:val="28"/>
        </w:rPr>
        <w:t>，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在執行的過程中，需要時刻它會協助我們監控與調整我們的行為動作並完成目標（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Aron, 2008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在一般情況下，前額葉皮質區在大腦主要為認知控制中樞，能有目的性且受控制的執行功能，抑制不符合的想法和行為，以及情緒與衝動（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Arnsten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Mazure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&amp; Sinha, 2012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），對於幼兒分析思維、問題解決、專注與訊息儲存、抑制干擾的技能（</w:t>
      </w:r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Clements, 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Sarama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&amp; </w:t>
      </w:r>
      <w:proofErr w:type="spellStart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DiBiase</w:t>
      </w:r>
      <w:proofErr w:type="spellEnd"/>
      <w:r w:rsidR="007A3B74"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2003</w:t>
      </w:r>
      <w:r w:rsidR="007A3B74" w:rsidRPr="0037428B">
        <w:rPr>
          <w:rFonts w:ascii="Times New Roman" w:hAnsi="Times New Roman"/>
          <w:color w:val="000000" w:themeColor="text1"/>
          <w:szCs w:val="28"/>
        </w:rPr>
        <w:t>）。</w:t>
      </w:r>
    </w:p>
    <w:p w14:paraId="0D048637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hint="eastAsia"/>
          <w:color w:val="000000" w:themeColor="text1"/>
          <w:szCs w:val="28"/>
        </w:rPr>
        <w:t>幼兒日常生活環境當中不論是上課、選擇、情緒等都存在著執行功能，這些都能預測未來在學習上的結果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Moffitt et al., 2011; McClelland et al., 2013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），執行功能有助於幼兒學會控制自己的思想、行為與感受、解決問題、完成任務（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McClelland &amp; Cameron,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），執行功能包含工作記憶（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Working memory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）、抑制控制（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Inhibition control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）、認知靈活性（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Cognitive flexibility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），普遍認為幼兒在認知發展過程中需要注意的執行功能（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2015;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2016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）。執行功能包含幼兒需要注意的認知過程，並在需要時刻轉換焦點「工作記憶」需要記住指令，「抑制控制」需要自我控制（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2015;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Blair, &amp; Willoughby, 2016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）。「認知靈活性」需要兩種（含）以上的干擾、反應、選擇之間的轉換能力（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Nguyen &amp; Duncan,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</w:t>
      </w:r>
    </w:p>
    <w:p w14:paraId="019D9C03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lastRenderedPageBreak/>
        <w:t>「工作記憶」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容易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造成理解能力、解決問題、數學解題策略等問題，而限制解決問題和高階學習能力（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Jarrold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&amp; Towse, 2006;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Viterbori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Usai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Traverso, &amp; De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Franchis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2015; Morgan, Farkas, Wang,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Hillemeier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Maczuga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）。「抑制控制」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容易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造成課程活動中忽略訊息、衝動、破壞行為等問題（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Berry, 2012; Allan, Hume, Allan, Farrington,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Lonigan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2014; Morgan et al.,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）。「認知靈活性」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容易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造成注意力、學習成效、解決問題、轉換等問題，如：對於數學理解能力及面對解題時所運用的策略能力下降（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Nayfeld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Fuccillo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&amp; Greenfield, 2013; Cartwright,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Coppage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Lane, Singleton, Marshall,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Bentivegna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2017; Morgan et al.,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）。如執行功能好的幼兒在學校更容易的安靜地坐下來、注意和記住並遵守規則，還可以靈活地採用新想法，可以更容易的學習也能與老師和同學相處更為融洽（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Meuwissen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2014;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2015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</w:t>
      </w:r>
    </w:p>
    <w:p w14:paraId="1676E321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一、執行功能</w:t>
      </w:r>
      <w:r w:rsidRPr="0037428B">
        <w:rPr>
          <w:rFonts w:ascii="Times New Roman" w:hAnsi="Times New Roman" w:cs="標楷體"/>
          <w:szCs w:val="28"/>
        </w:rPr>
        <w:t>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動作技能的關係</w:t>
      </w:r>
    </w:p>
    <w:p w14:paraId="69F419C4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幼兒的執行功能與動作技能是基本技能，這有助於幼兒順利的在學校環境中學習和社交（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McClelland &amp; Cameron, 2019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</w:t>
      </w:r>
      <w:r w:rsidRPr="0037428B">
        <w:rPr>
          <w:rFonts w:ascii="Times New Roman" w:hAnsi="Times New Roman"/>
          <w:color w:val="000000" w:themeColor="text1"/>
          <w:szCs w:val="28"/>
        </w:rPr>
        <w:t>執行功能與動作技能可共同發展，可達到互補效果，如一方面較為優勢可以彌補另一方較弱的（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Cameron et al., 2015</w:t>
      </w:r>
      <w:r w:rsidRPr="0037428B">
        <w:rPr>
          <w:rFonts w:ascii="Times New Roman" w:hAnsi="Times New Roman"/>
          <w:color w:val="000000" w:themeColor="text1"/>
          <w:szCs w:val="28"/>
        </w:rPr>
        <w:t>）。執行功能與動作技能皆是基礎學習的技能，伴隨著幼兒成長階段中共同發展，可成為在學校中認知與各學習領域上的強而有力的推手（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Cameron et al., 2012; McClelland et al., 2014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McClelland &amp; Cameron, 2019</w:t>
      </w:r>
      <w:r w:rsidRPr="0037428B">
        <w:rPr>
          <w:rFonts w:ascii="Times New Roman" w:hAnsi="Times New Roman"/>
          <w:color w:val="000000" w:themeColor="text1"/>
          <w:szCs w:val="28"/>
        </w:rPr>
        <w:t>）。</w:t>
      </w:r>
    </w:p>
    <w:p w14:paraId="548D630F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Cs w:val="28"/>
          <w:highlight w:val="yellow"/>
          <w:shd w:val="clear" w:color="auto" w:fill="FFFFFF"/>
        </w:rPr>
      </w:pP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在遊戲過程中和執行功能任務都需要認知技能，因此在運動或遊戲中過程獲得的這些動作都可能會移轉到執行功能（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Best, 2010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），執行功能與動作技能在學齡前幼兒之間也存在著相互發展，這些技能支持著幼兒早期發展（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Aadland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2017; McClelland &amp; Cameron, 2019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lastRenderedPageBreak/>
        <w:t xml:space="preserve">Schmitt,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Geldhof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Purpura, Duncan, &amp; McClelland, 2017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）。通常既往的印象中認知過程是靜態的，而動作技能過程是動態的，但在執行功能中不僅是想法控制，行為與動作也是認知的過程，因為在學習這些動作時需要計畫和思考（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Willingham, 1998; Adolph, 2005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）。而也有幼兒專家建議將已學習到的靜態結果，去結合學習動態的過程（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Hirsh-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Pasek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2005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</w:t>
      </w:r>
    </w:p>
    <w:p w14:paraId="4F1E195B" w14:textId="77777777" w:rsidR="007A3B74" w:rsidRPr="008D0BF5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Times New Roman" w:hAnsi="Times New Roman" w:cs="Times New Roman"/>
          <w:color w:val="000000" w:themeColor="text1"/>
          <w:szCs w:val="28"/>
          <w:highlight w:val="yellow"/>
          <w:shd w:val="clear" w:color="auto" w:fill="FFFFFF"/>
        </w:rPr>
      </w:pP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二、執行功能</w:t>
      </w:r>
      <w:r w:rsidRPr="0037428B">
        <w:rPr>
          <w:rFonts w:ascii="Times New Roman" w:hAnsi="Times New Roman" w:cs="標楷體"/>
          <w:szCs w:val="28"/>
        </w:rPr>
        <w:t>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數學學習的關係</w:t>
      </w:r>
    </w:p>
    <w:p w14:paraId="50BF88E8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幼兒</w:t>
      </w:r>
      <w:r>
        <w:rPr>
          <w:rFonts w:ascii="Times New Roman" w:hAnsi="Times New Roman" w:hint="eastAsia"/>
          <w:color w:val="000000" w:themeColor="text1"/>
          <w:szCs w:val="28"/>
        </w:rPr>
        <w:t>的</w:t>
      </w:r>
      <w:r w:rsidRPr="0037428B">
        <w:rPr>
          <w:rFonts w:ascii="Times New Roman" w:hAnsi="Times New Roman"/>
          <w:color w:val="000000" w:themeColor="text1"/>
          <w:szCs w:val="28"/>
        </w:rPr>
        <w:t>執行功能與數學之間存在相互作用，因為執行功能通常能促進學習相關的行為（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Nesbitt,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Farran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Fuhs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2015</w:t>
      </w:r>
      <w:r w:rsidRPr="0037428B">
        <w:rPr>
          <w:rFonts w:ascii="Times New Roman" w:hAnsi="Times New Roman"/>
          <w:color w:val="000000" w:themeColor="text1"/>
          <w:szCs w:val="28"/>
        </w:rPr>
        <w:t>）。研究顯示，幼兒園數學和執行功能之間有相互關聯（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Fuhs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Nesbitt,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Farran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&amp; Dong, 2014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Schmitt et al., 2017</w:t>
      </w:r>
      <w:r w:rsidRPr="0037428B">
        <w:rPr>
          <w:rFonts w:ascii="Times New Roman" w:hAnsi="Times New Roman"/>
          <w:color w:val="000000" w:themeColor="text1"/>
          <w:szCs w:val="28"/>
        </w:rPr>
        <w:t>）</w:t>
      </w:r>
      <w:r w:rsidRPr="0037428B">
        <w:rPr>
          <w:rFonts w:ascii="Times New Roman" w:hAnsi="Times New Roman" w:cs="Times New Roman"/>
          <w:color w:val="000000" w:themeColor="text1"/>
          <w:szCs w:val="28"/>
        </w:rPr>
        <w:t>。工作記憶與抑制控制有助於數學學習表現</w:t>
      </w:r>
      <w:r w:rsidRPr="0037428B">
        <w:rPr>
          <w:rFonts w:ascii="Times New Roman" w:hAnsi="Times New Roman"/>
          <w:color w:val="000000" w:themeColor="text1"/>
          <w:szCs w:val="28"/>
        </w:rPr>
        <w:t>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Steele, Karmiloff</w:t>
      </w:r>
      <w:r w:rsidRPr="0037428B">
        <w:rPr>
          <w:rFonts w:ascii="Cambria Math" w:hAnsi="Cambria Math" w:cs="Cambria Math"/>
          <w:color w:val="000000" w:themeColor="text1"/>
          <w:szCs w:val="28"/>
          <w:shd w:val="clear" w:color="auto" w:fill="FFFFFF"/>
        </w:rPr>
        <w:t>‐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Smith, Cornish,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Scerif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2012</w:t>
      </w:r>
      <w:r w:rsidRPr="0037428B">
        <w:rPr>
          <w:rFonts w:ascii="Times New Roman" w:hAnsi="Times New Roman"/>
          <w:color w:val="000000" w:themeColor="text1"/>
          <w:szCs w:val="28"/>
        </w:rPr>
        <w:t>），工作記憶與抑制控制有助於幼兒操作數學「數概念」與「數運算」，學習新概念及抑制不正確的過程（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Purpura et al., 2017</w:t>
      </w:r>
      <w:r w:rsidRPr="0037428B">
        <w:rPr>
          <w:rFonts w:ascii="Times New Roman" w:hAnsi="Times New Roman"/>
          <w:color w:val="000000" w:themeColor="text1"/>
          <w:szCs w:val="28"/>
        </w:rPr>
        <w:t>），認知靈活性有助於數學閱讀與理解、專注力、選擇有效的解題策略與方法（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Nayfeld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2013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Viterbori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2015; Morgan et al., 2019</w:t>
      </w:r>
      <w:r w:rsidRPr="0037428B">
        <w:rPr>
          <w:rFonts w:ascii="Times New Roman" w:hAnsi="Times New Roman"/>
          <w:color w:val="000000" w:themeColor="text1"/>
          <w:szCs w:val="28"/>
        </w:rPr>
        <w:t>）。而「工作記憶」主要為記住指令，對於數學學習上，除了記住數學符號外也要能將訊息儲存起來，工作記憶好的幼兒，也較能學好數學（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Schneider, Bjorklund,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Valsiner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2003; Cragg &amp; Gilmore, 2014; McClelland &amp; Cameron, 2019; Schmitt et al., 2019</w:t>
      </w:r>
      <w:r w:rsidRPr="0037428B">
        <w:rPr>
          <w:rFonts w:ascii="Times New Roman" w:hAnsi="Times New Roman"/>
          <w:color w:val="000000" w:themeColor="text1"/>
          <w:szCs w:val="28"/>
        </w:rPr>
        <w:t>），「抑制控制」主要為抑制分散注意力的訊息，在學習數學上抑制一些無關數學學習上的訊息干擾，如：不相關的數學符號或是訊息（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Cragg &amp; Gilmore, 2014;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Cantin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Gnaedinger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Gallaway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Hesson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-McInnis, &amp; Hund, 2016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Purpura et al., 2017</w:t>
      </w:r>
      <w:r w:rsidRPr="0037428B">
        <w:rPr>
          <w:rFonts w:ascii="Times New Roman" w:hAnsi="Times New Roman"/>
          <w:color w:val="000000" w:themeColor="text1"/>
          <w:szCs w:val="28"/>
        </w:rPr>
        <w:t>）</w:t>
      </w:r>
      <w:r>
        <w:rPr>
          <w:rFonts w:ascii="Times New Roman" w:hAnsi="Times New Roman" w:hint="eastAsia"/>
          <w:color w:val="000000" w:themeColor="text1"/>
          <w:szCs w:val="28"/>
        </w:rPr>
        <w:t>。</w:t>
      </w:r>
      <w:r w:rsidRPr="0037428B">
        <w:rPr>
          <w:rFonts w:ascii="Times New Roman" w:hAnsi="Times New Roman"/>
          <w:color w:val="000000" w:themeColor="text1"/>
          <w:szCs w:val="28"/>
        </w:rPr>
        <w:t>「認知靈活性」主要為排除干擾更專注於數學學習上，並選擇良好的方法或策略解題，靈活的從計算過程轉換成量化數字，如：幼兒需要在適當時機選擇顏</w:t>
      </w:r>
      <w:r w:rsidRPr="0037428B">
        <w:rPr>
          <w:rFonts w:ascii="Times New Roman" w:hAnsi="Times New Roman"/>
          <w:color w:val="000000" w:themeColor="text1"/>
          <w:szCs w:val="28"/>
        </w:rPr>
        <w:lastRenderedPageBreak/>
        <w:t>色或形狀之間轉換，表示要有好的專注力排除干擾及選擇正確的答案（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Purpura, Schmitt, &amp; Ganley, 2017; Nguyen &amp; Duncan, 2019; Morgan et al., 2019</w:t>
      </w:r>
      <w:r w:rsidRPr="0037428B">
        <w:rPr>
          <w:rFonts w:ascii="Times New Roman" w:hAnsi="Times New Roman"/>
          <w:color w:val="000000" w:themeColor="text1"/>
          <w:szCs w:val="28"/>
        </w:rPr>
        <w:t>）。其中數學學習在執行功能中，如「工作記憶」與「抑制控制」的相關性為，訊息的處理與儲存、抑制不必要的干擾（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Blair &amp; Raver, 2015</w:t>
      </w:r>
      <w:r w:rsidRPr="0037428B">
        <w:rPr>
          <w:rFonts w:ascii="Times New Roman" w:hAnsi="Times New Roman"/>
          <w:color w:val="000000" w:themeColor="text1"/>
          <w:szCs w:val="28"/>
        </w:rPr>
        <w:t>）。「認知靈活性」對於數學閱讀能力具有顯著效果（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Nguyen &amp; Duncan, 2019</w:t>
      </w:r>
      <w:r w:rsidRPr="0037428B">
        <w:rPr>
          <w:rFonts w:ascii="Times New Roman" w:hAnsi="Times New Roman"/>
          <w:color w:val="000000" w:themeColor="text1"/>
          <w:szCs w:val="28"/>
        </w:rPr>
        <w:t>）。</w:t>
      </w:r>
    </w:p>
    <w:p w14:paraId="5EF405BE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學者指出工作記憶（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Cragg &amp; Gilmore, 2014; McClelland &amp; Cameron, 2019; Schmitt, Purpura, &amp; Elicker, 2019</w:t>
      </w:r>
      <w:r w:rsidRPr="0037428B">
        <w:rPr>
          <w:rFonts w:ascii="Times New Roman" w:hAnsi="Times New Roman"/>
          <w:color w:val="000000" w:themeColor="text1"/>
          <w:szCs w:val="28"/>
        </w:rPr>
        <w:t>）與抑制控制（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Cantin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2016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Purpura et al., 2017</w:t>
      </w:r>
      <w:r w:rsidRPr="0037428B">
        <w:rPr>
          <w:rFonts w:ascii="Times New Roman" w:hAnsi="Times New Roman"/>
          <w:color w:val="000000" w:themeColor="text1"/>
          <w:szCs w:val="28"/>
        </w:rPr>
        <w:t>）及認知靈活性（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Purpura et al., 2017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Nguyen &amp; Duncan, 2019</w:t>
      </w:r>
      <w:r w:rsidRPr="0037428B">
        <w:rPr>
          <w:rFonts w:ascii="Times New Roman" w:hAnsi="Times New Roman"/>
          <w:color w:val="000000" w:themeColor="text1"/>
          <w:szCs w:val="28"/>
        </w:rPr>
        <w:t xml:space="preserve">; 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Nesbitt et al., 2019</w:t>
      </w:r>
      <w:r w:rsidRPr="0037428B">
        <w:rPr>
          <w:rFonts w:ascii="Times New Roman" w:hAnsi="Times New Roman"/>
          <w:color w:val="000000" w:themeColor="text1"/>
          <w:szCs w:val="28"/>
        </w:rPr>
        <w:t>）在數學學習上有著共同策略如下：</w:t>
      </w:r>
    </w:p>
    <w:p w14:paraId="528D4594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（一）工作記憶：記住指令</w:t>
      </w:r>
    </w:p>
    <w:p w14:paraId="10B32CC3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（二）抑制控制：抑制分散注意力的訊息</w:t>
      </w:r>
    </w:p>
    <w:p w14:paraId="44C90131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（三）認知靈活性：專注於指令上，</w:t>
      </w:r>
      <w:r>
        <w:rPr>
          <w:rFonts w:ascii="Times New Roman" w:hAnsi="Times New Roman" w:hint="eastAsia"/>
          <w:color w:val="000000" w:themeColor="text1"/>
          <w:szCs w:val="28"/>
        </w:rPr>
        <w:t>多面向之間指令選擇</w:t>
      </w:r>
    </w:p>
    <w:p w14:paraId="6E3F9229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Aadland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等人（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2017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）研究顯示執行功能與動作技能關係最大，在研究工具上，抑制控制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常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使用「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Stroop Color and Word Test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Golden, 1978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），工作記憶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常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使用「魏氏兒童智力量表第四版（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WISC-IV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Harris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Llorente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2005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）；執行功能和數學學習之間關係強烈，工作記憶使用「魏氏兒童智力量表第四版（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WISC-IV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Harris &amp;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Llorente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, 2005; 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Cantin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et al., 2016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），抑制控制使用「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Stroop Color and Word Test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Golden, 1978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）。認知靈活性使</w:t>
      </w:r>
      <w:r w:rsidRPr="0037428B">
        <w:rPr>
          <w:rFonts w:ascii="Times New Roman" w:hAnsi="Times New Roman"/>
          <w:color w:val="000000" w:themeColor="text1"/>
          <w:szCs w:val="28"/>
        </w:rPr>
        <w:t>用「卡片向度改變分類測驗」（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Dimensional Change Card Sort, DCCS</w:t>
      </w:r>
      <w:r w:rsidRPr="0037428B">
        <w:rPr>
          <w:rFonts w:ascii="Times New Roman" w:hAnsi="Times New Roman"/>
          <w:color w:val="000000" w:themeColor="text1"/>
          <w:szCs w:val="28"/>
        </w:rPr>
        <w:t>）。</w:t>
      </w:r>
    </w:p>
    <w:p w14:paraId="17D7152D" w14:textId="77777777" w:rsidR="007A3B74" w:rsidRPr="0037428B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本研究採用「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魏氏兒童智力量表第四版」（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WISC-IV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）中「順序數字記憶廣度」與「逆序數字記憶廣度」來檢測工作記憶，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Stroop Color and Word Test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（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Golden, 1978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）測驗文字和顏色干擾，本測驗為兩次，</w:t>
      </w:r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lastRenderedPageBreak/>
        <w:t>第一次為練習題文字和顏色「相同」，第二次為正式測驗文字和顏色「不相同」，請唸出正確顏色，此測驗檢測抑制控制。</w:t>
      </w:r>
      <w:r w:rsidRPr="0037428B">
        <w:rPr>
          <w:rFonts w:ascii="Times New Roman" w:hAnsi="Times New Roman"/>
          <w:color w:val="000000" w:themeColor="text1"/>
          <w:szCs w:val="28"/>
        </w:rPr>
        <w:t>卡片向度改變分類測驗（</w:t>
      </w:r>
      <w:proofErr w:type="spellStart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Zelazo</w:t>
      </w:r>
      <w:proofErr w:type="spellEnd"/>
      <w:r w:rsidRPr="0037428B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, 2006</w:t>
      </w:r>
      <w:r w:rsidRPr="0037428B">
        <w:rPr>
          <w:rFonts w:ascii="Times New Roman" w:hAnsi="Times New Roman"/>
          <w:color w:val="000000" w:themeColor="text1"/>
          <w:szCs w:val="28"/>
        </w:rPr>
        <w:t>），本測驗為兩階段，第一次為顏色遊戲將「相同顏色」的卡片放入盒子上，第二次為形狀遊戲將「相同形狀」的卡片放入盒子上</w:t>
      </w:r>
      <w:r w:rsidRPr="0037428B">
        <w:rPr>
          <w:rFonts w:ascii="Times New Roman" w:hAnsi="Times New Roman" w:cs="Apple Color Emoji"/>
          <w:color w:val="000000" w:themeColor="text1"/>
          <w:szCs w:val="28"/>
        </w:rPr>
        <w:t>。</w:t>
      </w:r>
    </w:p>
    <w:p w14:paraId="31541094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標楷體" w:hAnsi="標楷體"/>
          <w:color w:val="000000" w:themeColor="text1"/>
          <w:szCs w:val="28"/>
        </w:rPr>
      </w:pPr>
      <w:r w:rsidRPr="0037428B">
        <w:rPr>
          <w:rFonts w:ascii="Times New Roman" w:hAnsi="Times New Roman"/>
          <w:color w:val="000000" w:themeColor="text1"/>
          <w:szCs w:val="28"/>
        </w:rPr>
        <w:t>綜合上述學者觀點，執行功能是認知發展中一系列的監控、控制、協調、行為、思想等技能，幼兒時期為大腦認知發展階段，因此執行功能會影響著學習行為，在數學學習方面工作記憶、抑制控制、認知靈活性呈有顯著相關，並且協助調整行為動作，動作技能的活動過程亦是加強了認知發展，可為動作技能與執行功能是相互關聯，因此與數學學習是相輔相成共同發展的。</w:t>
      </w:r>
    </w:p>
    <w:p w14:paraId="010CBE35" w14:textId="77777777" w:rsidR="007A3B74" w:rsidRDefault="007A3B74" w:rsidP="00230AB1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60E9B2D2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007E0BA5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7E91605A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2A2A4B5E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339A1F1B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3AA80D00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5C0789B2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283A638F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630A1C05" w14:textId="77777777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15E1D911" w14:textId="257306E9" w:rsidR="007A3B74" w:rsidRDefault="007A3B74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48DCDA48" w14:textId="5BAEDA7D" w:rsidR="00F03ACB" w:rsidRDefault="00F03ACB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/>
          <w:color w:val="000000" w:themeColor="text1"/>
          <w:szCs w:val="28"/>
        </w:rPr>
      </w:pPr>
    </w:p>
    <w:p w14:paraId="5E00E18C" w14:textId="77777777" w:rsidR="00F03ACB" w:rsidRPr="00D72068" w:rsidRDefault="00F03ACB" w:rsidP="00365A53">
      <w:pPr>
        <w:pStyle w:val="21"/>
        <w:adjustRightInd w:val="0"/>
        <w:snapToGrid w:val="0"/>
        <w:spacing w:line="360" w:lineRule="auto"/>
        <w:ind w:firstLine="0"/>
        <w:rPr>
          <w:rFonts w:ascii="BiauKai" w:eastAsia="BiauKai" w:hAnsi="BiauKai" w:hint="eastAsia"/>
          <w:color w:val="000000" w:themeColor="text1"/>
          <w:szCs w:val="28"/>
        </w:rPr>
      </w:pPr>
    </w:p>
    <w:p w14:paraId="14510E36" w14:textId="49117D43" w:rsidR="007A3B74" w:rsidRPr="006552FE" w:rsidRDefault="007A3B74" w:rsidP="00365A53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bookmarkStart w:id="35" w:name="_Toc31725323"/>
      <w:r w:rsidRPr="006552F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四</w:t>
      </w:r>
      <w:r w:rsidRPr="006552F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節 幼兒</w:t>
      </w:r>
      <w:bookmarkEnd w:id="35"/>
      <w:r w:rsidR="000B3CA0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美感</w:t>
      </w:r>
    </w:p>
    <w:p w14:paraId="1ADF09CE" w14:textId="12B242E4" w:rsidR="007A3B74" w:rsidRPr="00230AB1" w:rsidRDefault="007A3B74" w:rsidP="00230AB1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16747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綜合上述學者觀點，幼兒數學學習從日常生活中的數數、大小、數量到數學加減法概念，與幼兒生活息息相關，早期數學基礎能奠定未來高階數學學習上的影響，並與動作技能及執行功能共同發展，因此在幼兒成長階段有著重要的影響，經文獻指出國內幼兒數學學習皆以「繪本教學」為主，本研究對照組則採用「</w:t>
      </w:r>
      <w:r>
        <w:rPr>
          <w:rFonts w:ascii="Times New Roman" w:hAnsi="Times New Roman" w:hint="eastAsia"/>
          <w:color w:val="000000" w:themeColor="text1"/>
          <w:szCs w:val="28"/>
        </w:rPr>
        <w:t>傳統教學於數學活動課程</w:t>
      </w:r>
      <w:r w:rsidRPr="0016747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」進行教學實驗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；體感互動遊戲中肢體動作技能與數學學習有著極大關係。因此，本研究實驗組則採用「</w:t>
      </w:r>
      <w:r>
        <w:rPr>
          <w:rFonts w:ascii="Times New Roman" w:hAnsi="Times New Roman" w:cs="Arial" w:hint="eastAsia"/>
          <w:color w:val="000000" w:themeColor="text1"/>
          <w:szCs w:val="28"/>
          <w:shd w:val="clear" w:color="auto" w:fill="FFFFFF"/>
        </w:rPr>
        <w:t>體感互動遊戲於數學教學課程</w:t>
      </w:r>
      <w:r>
        <w:rPr>
          <w:rFonts w:ascii="Times New Roman" w:hAnsi="Times New Roman" w:cs="Times New Roman" w:hint="eastAsia"/>
          <w:color w:val="000000" w:themeColor="text1"/>
          <w:szCs w:val="28"/>
          <w:shd w:val="clear" w:color="auto" w:fill="FFFFFF"/>
        </w:rPr>
        <w:t>」</w:t>
      </w:r>
      <w:r w:rsidRPr="0016747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。</w:t>
      </w:r>
    </w:p>
    <w:p w14:paraId="549E4BAB" w14:textId="6FD65A0E" w:rsidR="00230AB1" w:rsidRDefault="00230AB1" w:rsidP="00230AB1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bookmarkStart w:id="36" w:name="_Toc31725324"/>
      <w:r>
        <w:rPr>
          <w:rFonts w:ascii="標楷體" w:eastAsia="標楷體" w:hAnsi="標楷體"/>
          <w:b w:val="0"/>
          <w:color w:val="000000" w:themeColor="text1"/>
          <w:sz w:val="32"/>
          <w:szCs w:val="32"/>
        </w:rPr>
        <w:br w:type="page"/>
      </w: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五</w:t>
      </w: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 xml:space="preserve">節 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遊戲式學習</w:t>
      </w:r>
    </w:p>
    <w:p w14:paraId="758D9E67" w14:textId="77777777" w:rsidR="00230AB1" w:rsidRPr="00167475" w:rsidRDefault="00230AB1" w:rsidP="00230AB1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Apple Color Emoji"/>
          <w:color w:val="000000" w:themeColor="text1"/>
          <w:szCs w:val="28"/>
        </w:rPr>
      </w:pPr>
      <w:r w:rsidRPr="00167475">
        <w:rPr>
          <w:rFonts w:ascii="Times New Roman" w:hAnsi="Times New Roman"/>
          <w:color w:val="000000" w:themeColor="text1"/>
          <w:szCs w:val="28"/>
        </w:rPr>
        <w:t>經由上述文獻探討可知，體感互動遊戲在幼兒期間有助於認知與動作技能發展，在現今的幼兒教育有許多的方法與策略，這些的方法都希望能提升幼兒學習能力與身體健康，可以順利的解決日常生活上所需的能力，但在國內幼兒園的多元發展，公幼、私幼、蒙特梭利、連鎖幼兒園等，由於各個幼兒園教學方法與策略不同，因此出現讓家長質疑</w:t>
      </w:r>
      <w:r w:rsidRPr="00167475">
        <w:rPr>
          <w:rFonts w:ascii="Times New Roman" w:hAnsi="Times New Roman" w:cs="Apple Color Emoji"/>
          <w:color w:val="000000" w:themeColor="text1"/>
          <w:szCs w:val="28"/>
        </w:rPr>
        <w:t>幼</w:t>
      </w:r>
      <w:r>
        <w:rPr>
          <w:rFonts w:ascii="Times New Roman" w:hAnsi="Times New Roman" w:cs="Apple Color Emoji" w:hint="eastAsia"/>
          <w:color w:val="000000" w:themeColor="text1"/>
          <w:szCs w:val="28"/>
        </w:rPr>
        <w:t>兒園</w:t>
      </w:r>
      <w:r w:rsidRPr="00167475">
        <w:rPr>
          <w:rFonts w:ascii="Times New Roman" w:hAnsi="Times New Roman" w:cs="Apple Color Emoji"/>
          <w:color w:val="000000" w:themeColor="text1"/>
          <w:szCs w:val="28"/>
        </w:rPr>
        <w:t>銜接</w:t>
      </w:r>
      <w:r>
        <w:rPr>
          <w:rFonts w:ascii="Times New Roman" w:hAnsi="Times New Roman" w:cs="Apple Color Emoji" w:hint="eastAsia"/>
          <w:color w:val="000000" w:themeColor="text1"/>
          <w:szCs w:val="28"/>
        </w:rPr>
        <w:t>小學</w:t>
      </w:r>
      <w:r w:rsidRPr="00167475">
        <w:rPr>
          <w:rFonts w:ascii="Times New Roman" w:hAnsi="Times New Roman" w:cs="Apple Color Emoji"/>
          <w:color w:val="000000" w:themeColor="text1"/>
          <w:szCs w:val="28"/>
        </w:rPr>
        <w:t>的適應性（</w:t>
      </w:r>
      <w:r w:rsidRPr="00167475">
        <w:rPr>
          <w:rFonts w:ascii="Times New Roman" w:hAnsi="Times New Roman" w:cs="標楷體"/>
          <w:color w:val="000000" w:themeColor="text1"/>
          <w:szCs w:val="28"/>
          <w:shd w:val="clear" w:color="auto" w:fill="FFFFFF"/>
        </w:rPr>
        <w:t>陳珮雯，</w:t>
      </w:r>
      <w:r w:rsidRPr="0016747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2018</w:t>
      </w:r>
      <w:r w:rsidRPr="00167475">
        <w:rPr>
          <w:rFonts w:ascii="Times New Roman" w:hAnsi="Times New Roman" w:cs="Apple Color Emoji"/>
          <w:color w:val="000000" w:themeColor="text1"/>
          <w:szCs w:val="28"/>
        </w:rPr>
        <w:t>）。公私幼兒的認知發展與動作技能皆有不同，大量的研究表明遊戲式學習提高學習動機、學習成效，本研究採用體感互動遊戲進行，體感互動遊戲強調於遊戲過程中，以學習者為主，貼近幼兒日常生活課程，透過虛擬式的情境教學，促進學習並於愉快的遊戲過程中，達到目標學習。</w:t>
      </w:r>
    </w:p>
    <w:p w14:paraId="5502D7CB" w14:textId="77777777" w:rsidR="00230AB1" w:rsidRPr="00167475" w:rsidRDefault="00230AB1" w:rsidP="00230AB1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167475">
        <w:rPr>
          <w:rFonts w:ascii="Times New Roman" w:eastAsia="標楷體" w:hAnsi="Times New Roman" w:cs="標楷體"/>
          <w:sz w:val="28"/>
          <w:szCs w:val="28"/>
        </w:rPr>
        <w:t>現今的幼兒</w:t>
      </w:r>
      <w:r>
        <w:rPr>
          <w:rFonts w:ascii="Times New Roman" w:eastAsia="標楷體" w:hAnsi="Times New Roman" w:cs="標楷體" w:hint="eastAsia"/>
          <w:sz w:val="28"/>
          <w:szCs w:val="28"/>
        </w:rPr>
        <w:t>數學</w:t>
      </w:r>
      <w:r w:rsidRPr="00167475">
        <w:rPr>
          <w:rFonts w:ascii="Times New Roman" w:eastAsia="標楷體" w:hAnsi="Times New Roman" w:cs="標楷體"/>
          <w:sz w:val="28"/>
          <w:szCs w:val="28"/>
        </w:rPr>
        <w:t>教育皆以繪本教學為主，大多數因幼兒園課程配置關係，在學習上會較為偏重某一能力或科目的教育，應以全人教育發展，除了學科上，幼兒為身體發展重要階段，應以學科加以動作技能發展，利用遊戲式學習，以提高學習動機及興趣，</w:t>
      </w:r>
      <w:r>
        <w:rPr>
          <w:rFonts w:ascii="Times New Roman" w:eastAsia="標楷體" w:hAnsi="Times New Roman" w:cs="標楷體" w:hint="eastAsia"/>
          <w:sz w:val="28"/>
          <w:szCs w:val="28"/>
        </w:rPr>
        <w:t>透過體感互動遊戲將數學學習、動作技能及執行功能三種能力結合，</w:t>
      </w:r>
      <w:r w:rsidRPr="00167475">
        <w:rPr>
          <w:rFonts w:ascii="Times New Roman" w:eastAsia="標楷體" w:hAnsi="Times New Roman" w:cs="標楷體"/>
          <w:sz w:val="28"/>
          <w:szCs w:val="28"/>
        </w:rPr>
        <w:t>讓幼兒能在未來中，不僅能讓幼兒在遊戲中快樂學習將知識與動作技能結合，進而有助於未來學習上。</w:t>
      </w:r>
    </w:p>
    <w:p w14:paraId="691D79C2" w14:textId="77777777" w:rsidR="00230AB1" w:rsidRPr="00CE6917" w:rsidRDefault="00230AB1" w:rsidP="00230AB1">
      <w:pPr>
        <w:adjustRightInd w:val="0"/>
        <w:snapToGrid w:val="0"/>
        <w:spacing w:line="360" w:lineRule="auto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167475">
        <w:rPr>
          <w:rFonts w:ascii="Times New Roman" w:eastAsia="標楷體" w:hAnsi="Times New Roman" w:cs="標楷體"/>
          <w:color w:val="000000" w:themeColor="text1"/>
          <w:sz w:val="28"/>
          <w:szCs w:val="28"/>
        </w:rPr>
        <w:t>本研究綜合上述學者觀點，</w:t>
      </w:r>
      <w:r w:rsidRPr="001674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發現幼兒階段動作技能影響著執行功能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與數學學習三者的互有相關性。因此，本研究旨將數學學習、動作技能及執行功能能力整合於體感互動遊戲中設計，這些能力</w:t>
      </w:r>
      <w:r w:rsidRPr="001674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在學齡前幼兒伴隨著發展並影響著未來的身體、心理、學習，各領域發展。</w:t>
      </w:r>
    </w:p>
    <w:p w14:paraId="0D49B809" w14:textId="77777777" w:rsidR="00230AB1" w:rsidRPr="00230AB1" w:rsidRDefault="00230AB1" w:rsidP="00230AB1"/>
    <w:p w14:paraId="7987EB04" w14:textId="43093E0D" w:rsidR="007A3B74" w:rsidRPr="00CE6917" w:rsidRDefault="007A3B74" w:rsidP="00365A53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 w:rsidR="00230AB1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六</w:t>
      </w: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節 文獻評析</w:t>
      </w:r>
      <w:bookmarkEnd w:id="36"/>
    </w:p>
    <w:p w14:paraId="6E4FE7B8" w14:textId="78DEA4B3" w:rsidR="007A3B74" w:rsidRPr="00167475" w:rsidRDefault="007A3B74" w:rsidP="00365A53">
      <w:pPr>
        <w:pStyle w:val="21"/>
        <w:adjustRightInd w:val="0"/>
        <w:snapToGrid w:val="0"/>
        <w:spacing w:line="360" w:lineRule="auto"/>
        <w:ind w:firstLineChars="200" w:firstLine="560"/>
        <w:rPr>
          <w:rFonts w:ascii="Times New Roman" w:hAnsi="Times New Roman" w:cs="Apple Color Emoji"/>
          <w:color w:val="000000" w:themeColor="text1"/>
          <w:szCs w:val="28"/>
        </w:rPr>
      </w:pPr>
      <w:r w:rsidRPr="00167475">
        <w:rPr>
          <w:rFonts w:ascii="Times New Roman" w:hAnsi="Times New Roman"/>
          <w:color w:val="000000" w:themeColor="text1"/>
          <w:szCs w:val="28"/>
        </w:rPr>
        <w:t>經由上述文獻探討可知，</w:t>
      </w:r>
      <w:r w:rsidR="00F31958">
        <w:rPr>
          <w:rFonts w:ascii="Times New Roman" w:hAnsi="Times New Roman" w:hint="eastAsia"/>
          <w:color w:val="000000" w:themeColor="text1"/>
          <w:szCs w:val="28"/>
        </w:rPr>
        <w:t>互動式</w:t>
      </w:r>
      <w:r w:rsidRPr="00167475">
        <w:rPr>
          <w:rFonts w:ascii="Times New Roman" w:hAnsi="Times New Roman"/>
          <w:color w:val="000000" w:themeColor="text1"/>
          <w:szCs w:val="28"/>
        </w:rPr>
        <w:t>體感遊戲</w:t>
      </w:r>
      <w:r w:rsidR="00F31958">
        <w:rPr>
          <w:rFonts w:ascii="Times New Roman" w:hAnsi="Times New Roman" w:hint="eastAsia"/>
          <w:color w:val="000000" w:themeColor="text1"/>
          <w:szCs w:val="28"/>
        </w:rPr>
        <w:t>可以有效地提升幼兒對於學習的興趣</w:t>
      </w:r>
      <w:r w:rsidRPr="00167475">
        <w:rPr>
          <w:rFonts w:ascii="Times New Roman" w:hAnsi="Times New Roman"/>
          <w:color w:val="000000" w:themeColor="text1"/>
          <w:szCs w:val="28"/>
        </w:rPr>
        <w:t>，</w:t>
      </w:r>
      <w:r w:rsidR="00F31958">
        <w:rPr>
          <w:rFonts w:ascii="Times New Roman" w:hAnsi="Times New Roman" w:hint="eastAsia"/>
          <w:color w:val="000000" w:themeColor="text1"/>
          <w:szCs w:val="28"/>
        </w:rPr>
        <w:t>現今</w:t>
      </w:r>
      <w:r w:rsidR="00E87A6C">
        <w:rPr>
          <w:rFonts w:ascii="Times New Roman" w:hAnsi="Times New Roman" w:hint="eastAsia"/>
          <w:color w:val="000000" w:themeColor="text1"/>
          <w:szCs w:val="28"/>
        </w:rPr>
        <w:t>幼兒教育中</w:t>
      </w:r>
      <w:r w:rsidR="00F31958">
        <w:rPr>
          <w:rFonts w:ascii="Times New Roman" w:hAnsi="Times New Roman" w:hint="eastAsia"/>
          <w:color w:val="000000" w:themeColor="text1"/>
          <w:szCs w:val="28"/>
        </w:rPr>
        <w:t>幼兒的</w:t>
      </w:r>
      <w:r w:rsidR="00E87A6C">
        <w:rPr>
          <w:rFonts w:ascii="Times New Roman" w:hAnsi="Times New Roman" w:hint="eastAsia"/>
          <w:color w:val="000000" w:themeColor="text1"/>
          <w:szCs w:val="28"/>
        </w:rPr>
        <w:t>身體健康也和學習能力一樣重要，如</w:t>
      </w:r>
      <w:r w:rsidR="00E87A6C">
        <w:rPr>
          <w:rFonts w:ascii="Times New Roman" w:hAnsi="Times New Roman" w:hint="eastAsia"/>
          <w:color w:val="000000" w:themeColor="text1"/>
          <w:szCs w:val="28"/>
        </w:rPr>
        <w:t>2017</w:t>
      </w:r>
      <w:r w:rsidR="00E87A6C">
        <w:rPr>
          <w:rFonts w:ascii="Times New Roman" w:hAnsi="Times New Roman" w:hint="eastAsia"/>
          <w:color w:val="000000" w:themeColor="text1"/>
          <w:szCs w:val="28"/>
        </w:rPr>
        <w:t>年我國教育部發表的</w:t>
      </w:r>
      <w:r w:rsidR="00E87A6C" w:rsidRPr="0081536D">
        <w:rPr>
          <w:rFonts w:ascii="Times New Roman" w:hAnsi="Times New Roman"/>
          <w:color w:val="000000" w:themeColor="text1"/>
          <w:szCs w:val="28"/>
        </w:rPr>
        <w:t>「幼兒園教保活動課程大綱」</w:t>
      </w:r>
      <w:r w:rsidR="00E87A6C">
        <w:rPr>
          <w:rFonts w:ascii="Times New Roman" w:hAnsi="Times New Roman" w:hint="eastAsia"/>
          <w:color w:val="000000" w:themeColor="text1"/>
          <w:szCs w:val="28"/>
        </w:rPr>
        <w:t>中也將身體健康設定為幼兒學習的六大能力之一，互動式體感遊戲正好可以讓幼兒提升學習成效且同時訓練動作技能</w:t>
      </w:r>
      <w:r w:rsidRPr="00167475">
        <w:rPr>
          <w:rFonts w:ascii="Times New Roman" w:hAnsi="Times New Roman" w:cs="Apple Color Emoji"/>
          <w:color w:val="000000" w:themeColor="text1"/>
          <w:szCs w:val="28"/>
        </w:rPr>
        <w:t>。公私幼兒的認知發展與動作技能皆有不同，大量的研究表明遊戲式學習提高學習動機、學習成效，本研究採用體感互動遊戲進行，體感互動遊戲強調於遊戲過程中，以學習者為主，貼近幼兒日常生活課程，透過虛擬式的情境教學，促進學習並於愉快的遊戲過程中，達到目標學習。</w:t>
      </w:r>
    </w:p>
    <w:p w14:paraId="0A797402" w14:textId="6C3A7772" w:rsidR="007A3B74" w:rsidRPr="00167475" w:rsidRDefault="007A3B74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167475">
        <w:rPr>
          <w:rFonts w:ascii="Times New Roman" w:eastAsia="標楷體" w:hAnsi="Times New Roman" w:cs="標楷體"/>
          <w:sz w:val="28"/>
          <w:szCs w:val="28"/>
        </w:rPr>
        <w:t>現今的幼兒</w:t>
      </w:r>
      <w:r w:rsidR="00E87A6C">
        <w:rPr>
          <w:rFonts w:ascii="Times New Roman" w:eastAsia="標楷體" w:hAnsi="Times New Roman" w:cs="標楷體" w:hint="eastAsia"/>
          <w:sz w:val="28"/>
          <w:szCs w:val="28"/>
        </w:rPr>
        <w:t>美感</w:t>
      </w:r>
      <w:r w:rsidRPr="00167475">
        <w:rPr>
          <w:rFonts w:ascii="Times New Roman" w:eastAsia="標楷體" w:hAnsi="Times New Roman" w:cs="標楷體"/>
          <w:sz w:val="28"/>
          <w:szCs w:val="28"/>
        </w:rPr>
        <w:t>教育皆以</w:t>
      </w:r>
      <w:r w:rsidR="00E87A6C">
        <w:rPr>
          <w:rFonts w:ascii="Times New Roman" w:eastAsia="標楷體" w:hAnsi="Times New Roman" w:cs="標楷體" w:hint="eastAsia"/>
          <w:sz w:val="28"/>
          <w:szCs w:val="28"/>
        </w:rPr>
        <w:t>實體活動</w:t>
      </w:r>
      <w:r w:rsidRPr="00167475">
        <w:rPr>
          <w:rFonts w:ascii="Times New Roman" w:eastAsia="標楷體" w:hAnsi="Times New Roman" w:cs="標楷體"/>
          <w:sz w:val="28"/>
          <w:szCs w:val="28"/>
        </w:rPr>
        <w:t>教學為主，大多數因幼兒園課程配置關係，在學習上會較為偏重某一能力或科目的教育，應以全人教育發展，除了學科上，幼兒為身體發展重要階段，應以學科加以動作技能發展，利用遊戲式學習，以提高學習動機及興趣，</w:t>
      </w:r>
      <w:r>
        <w:rPr>
          <w:rFonts w:ascii="Times New Roman" w:eastAsia="標楷體" w:hAnsi="Times New Roman" w:cs="標楷體" w:hint="eastAsia"/>
          <w:sz w:val="28"/>
          <w:szCs w:val="28"/>
        </w:rPr>
        <w:t>透過體感互動遊戲將數學學習、動作技能及執行功能三種能力結合，</w:t>
      </w:r>
      <w:r w:rsidRPr="00167475">
        <w:rPr>
          <w:rFonts w:ascii="Times New Roman" w:eastAsia="標楷體" w:hAnsi="Times New Roman" w:cs="標楷體"/>
          <w:sz w:val="28"/>
          <w:szCs w:val="28"/>
        </w:rPr>
        <w:t>讓幼兒能在未來中，不僅能讓幼兒在遊戲中快樂學習將知識與動作技能結合，進而有助於未來學習上。</w:t>
      </w:r>
    </w:p>
    <w:p w14:paraId="7064356F" w14:textId="2C12AD73" w:rsidR="007A3B74" w:rsidRPr="00CE6917" w:rsidRDefault="007A3B74" w:rsidP="00365A53">
      <w:pPr>
        <w:adjustRightInd w:val="0"/>
        <w:snapToGrid w:val="0"/>
        <w:spacing w:line="360" w:lineRule="auto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167475">
        <w:rPr>
          <w:rFonts w:ascii="Times New Roman" w:eastAsia="標楷體" w:hAnsi="Times New Roman" w:cs="標楷體"/>
          <w:color w:val="000000" w:themeColor="text1"/>
          <w:sz w:val="28"/>
          <w:szCs w:val="28"/>
        </w:rPr>
        <w:t>本研究綜合上述觀點，</w:t>
      </w:r>
      <w:r w:rsidRPr="001674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發現幼兒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。因此，本研究旨將數學學習、動作技能及執行功能能力整合於體感互動遊戲中設計，這些能力</w:t>
      </w:r>
      <w:r w:rsidRPr="001674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在學齡前幼兒伴隨著發展並影響著未來的身體、心理、學習，各領域發展。</w:t>
      </w:r>
    </w:p>
    <w:p w14:paraId="055E1FB1" w14:textId="5862D59C" w:rsidR="00E87A6C" w:rsidRDefault="00E87A6C">
      <w:pPr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B083FB1" w14:textId="3B723729" w:rsidR="00E87A6C" w:rsidRPr="00CE6917" w:rsidRDefault="00E87A6C" w:rsidP="00E87A6C">
      <w:pPr>
        <w:pStyle w:val="2"/>
        <w:adjustRightInd w:val="0"/>
        <w:snapToGrid w:val="0"/>
        <w:spacing w:line="360" w:lineRule="auto"/>
        <w:jc w:val="center"/>
        <w:rPr>
          <w:rFonts w:ascii="標楷體" w:eastAsia="標楷體" w:hAnsi="標楷體"/>
          <w:b w:val="0"/>
          <w:color w:val="000000" w:themeColor="text1"/>
          <w:sz w:val="32"/>
          <w:szCs w:val="32"/>
        </w:rPr>
      </w:pP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七</w:t>
      </w:r>
      <w:r w:rsidRPr="0003573E"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 xml:space="preserve">節 </w:t>
      </w:r>
      <w:r>
        <w:rPr>
          <w:rFonts w:ascii="標楷體" w:eastAsia="標楷體" w:hAnsi="標楷體" w:hint="eastAsia"/>
          <w:b w:val="0"/>
          <w:color w:val="000000" w:themeColor="text1"/>
          <w:sz w:val="32"/>
          <w:szCs w:val="32"/>
        </w:rPr>
        <w:t>預期成果</w:t>
      </w:r>
    </w:p>
    <w:p w14:paraId="73E3CB0B" w14:textId="77777777" w:rsidR="00E87A6C" w:rsidRDefault="00E87A6C" w:rsidP="00365A53">
      <w:pPr>
        <w:pStyle w:val="21"/>
        <w:adjustRightInd w:val="0"/>
        <w:snapToGrid w:val="0"/>
        <w:spacing w:line="360" w:lineRule="auto"/>
        <w:ind w:firstLineChars="200" w:firstLine="560"/>
      </w:pPr>
      <w:r>
        <w:t>基於上述之研究方法，本研究預期得到之成果如下：</w:t>
      </w:r>
    </w:p>
    <w:p w14:paraId="47ED6210" w14:textId="7FAD9C95" w:rsidR="00E87A6C" w:rsidRPr="00E87A6C" w:rsidRDefault="00E87A6C" w:rsidP="00E87A6C">
      <w:pPr>
        <w:pStyle w:val="21"/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>開發一套運用</w:t>
      </w:r>
      <w:r>
        <w:rPr>
          <w:rFonts w:hint="eastAsia"/>
        </w:rPr>
        <w:t>遊戲學習模型</w:t>
      </w:r>
      <w:r>
        <w:rPr>
          <w:rFonts w:hint="eastAsia"/>
        </w:rPr>
        <w:t>IPO</w:t>
      </w:r>
      <w:r>
        <w:rPr>
          <w:rFonts w:hint="eastAsia"/>
        </w:rPr>
        <w:t>結合</w:t>
      </w:r>
      <w:r>
        <w:t>互動式體感遊戲之教學課程。</w:t>
      </w:r>
      <w:r>
        <w:t xml:space="preserve"> </w:t>
      </w:r>
    </w:p>
    <w:p w14:paraId="5284A0A7" w14:textId="14EF8FF7" w:rsidR="00E87A6C" w:rsidRPr="00E87A6C" w:rsidRDefault="00E87A6C" w:rsidP="00E87A6C">
      <w:pPr>
        <w:pStyle w:val="21"/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>學習者透過互動式體感遊戲比起傳統教學對</w:t>
      </w:r>
      <w:r>
        <w:rPr>
          <w:rFonts w:hint="eastAsia"/>
        </w:rPr>
        <w:t>執行功能</w:t>
      </w:r>
      <w:r>
        <w:t>有顯著提升。</w:t>
      </w:r>
    </w:p>
    <w:p w14:paraId="0796E09C" w14:textId="291AE398" w:rsidR="00E87A6C" w:rsidRPr="00E87A6C" w:rsidRDefault="00E87A6C" w:rsidP="00E87A6C">
      <w:pPr>
        <w:pStyle w:val="21"/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>學習者透過互動式體感遊戲比起傳統教學對動作技能（穩定性、移動性</w:t>
      </w:r>
      <w:r>
        <w:rPr>
          <w:rFonts w:hint="eastAsia"/>
        </w:rPr>
        <w:t>、操作性</w:t>
      </w:r>
      <w:r>
        <w:t>）有顯著提升。</w:t>
      </w:r>
      <w:r>
        <w:t xml:space="preserve"> </w:t>
      </w:r>
    </w:p>
    <w:p w14:paraId="62A9B044" w14:textId="363FBD26" w:rsidR="00466459" w:rsidRPr="007A3B74" w:rsidRDefault="00E87A6C" w:rsidP="00E87A6C">
      <w:pPr>
        <w:pStyle w:val="21"/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>學習者透過互動式體感遊戲比起傳統教學對</w:t>
      </w:r>
      <w:r>
        <w:rPr>
          <w:rFonts w:hint="eastAsia"/>
        </w:rPr>
        <w:t>美感</w:t>
      </w:r>
      <w:r>
        <w:t>學習成效有顯著提升</w:t>
      </w:r>
    </w:p>
    <w:sectPr w:rsidR="00466459" w:rsidRPr="007A3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4A2F3" w14:textId="77777777" w:rsidR="008B4DFD" w:rsidRDefault="008B4DFD" w:rsidP="00AC2DE1">
      <w:r>
        <w:separator/>
      </w:r>
    </w:p>
  </w:endnote>
  <w:endnote w:type="continuationSeparator" w:id="0">
    <w:p w14:paraId="599074F2" w14:textId="77777777" w:rsidR="008B4DFD" w:rsidRDefault="008B4DFD" w:rsidP="00AC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全真中黑體">
    <w:altName w:val="細明體"/>
    <w:panose1 w:val="020B0604020202020204"/>
    <w:charset w:val="88"/>
    <w:family w:val="modern"/>
    <w:pitch w:val="fixed"/>
    <w:sig w:usb0="00002A87" w:usb1="08080000" w:usb2="00000010" w:usb3="00000000" w:csb0="001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iauKai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=˝P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ñœ°O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5DA5" w14:textId="77777777" w:rsidR="008B4DFD" w:rsidRDefault="008B4DFD" w:rsidP="00AC2DE1">
      <w:r>
        <w:separator/>
      </w:r>
    </w:p>
  </w:footnote>
  <w:footnote w:type="continuationSeparator" w:id="0">
    <w:p w14:paraId="37655032" w14:textId="77777777" w:rsidR="008B4DFD" w:rsidRDefault="008B4DFD" w:rsidP="00AC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524CE"/>
    <w:multiLevelType w:val="hybridMultilevel"/>
    <w:tmpl w:val="19321288"/>
    <w:lvl w:ilvl="0" w:tplc="0840BDF2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81061"/>
    <w:multiLevelType w:val="hybridMultilevel"/>
    <w:tmpl w:val="008A1940"/>
    <w:lvl w:ilvl="0" w:tplc="75047910">
      <w:start w:val="1"/>
      <w:numFmt w:val="taiwaneseCountingThousand"/>
      <w:lvlText w:val="%1、"/>
      <w:lvlJc w:val="left"/>
      <w:pPr>
        <w:ind w:left="1415" w:hanging="720"/>
      </w:pPr>
      <w:rPr>
        <w:rFonts w:ascii="新細明體" w:hAnsi="新細明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55" w:hanging="480"/>
      </w:pPr>
    </w:lvl>
    <w:lvl w:ilvl="2" w:tplc="0409001B" w:tentative="1">
      <w:start w:val="1"/>
      <w:numFmt w:val="lowerRoman"/>
      <w:lvlText w:val="%3."/>
      <w:lvlJc w:val="right"/>
      <w:pPr>
        <w:ind w:left="2135" w:hanging="480"/>
      </w:pPr>
    </w:lvl>
    <w:lvl w:ilvl="3" w:tplc="0409000F" w:tentative="1">
      <w:start w:val="1"/>
      <w:numFmt w:val="decimal"/>
      <w:lvlText w:val="%4."/>
      <w:lvlJc w:val="left"/>
      <w:pPr>
        <w:ind w:left="26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5" w:hanging="480"/>
      </w:pPr>
    </w:lvl>
    <w:lvl w:ilvl="5" w:tplc="0409001B" w:tentative="1">
      <w:start w:val="1"/>
      <w:numFmt w:val="lowerRoman"/>
      <w:lvlText w:val="%6."/>
      <w:lvlJc w:val="right"/>
      <w:pPr>
        <w:ind w:left="3575" w:hanging="480"/>
      </w:pPr>
    </w:lvl>
    <w:lvl w:ilvl="6" w:tplc="0409000F" w:tentative="1">
      <w:start w:val="1"/>
      <w:numFmt w:val="decimal"/>
      <w:lvlText w:val="%7."/>
      <w:lvlJc w:val="left"/>
      <w:pPr>
        <w:ind w:left="40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5" w:hanging="480"/>
      </w:pPr>
    </w:lvl>
    <w:lvl w:ilvl="8" w:tplc="0409001B" w:tentative="1">
      <w:start w:val="1"/>
      <w:numFmt w:val="lowerRoman"/>
      <w:lvlText w:val="%9."/>
      <w:lvlJc w:val="right"/>
      <w:pPr>
        <w:ind w:left="5015" w:hanging="480"/>
      </w:pPr>
    </w:lvl>
  </w:abstractNum>
  <w:abstractNum w:abstractNumId="2" w15:restartNumberingAfterBreak="0">
    <w:nsid w:val="7834224C"/>
    <w:multiLevelType w:val="hybridMultilevel"/>
    <w:tmpl w:val="F6EEB80A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B"/>
    <w:rsid w:val="00020F60"/>
    <w:rsid w:val="00072451"/>
    <w:rsid w:val="00080F05"/>
    <w:rsid w:val="000A3099"/>
    <w:rsid w:val="000B3CA0"/>
    <w:rsid w:val="000C7B7B"/>
    <w:rsid w:val="000F6EEE"/>
    <w:rsid w:val="0016368E"/>
    <w:rsid w:val="0018497B"/>
    <w:rsid w:val="001E6FF8"/>
    <w:rsid w:val="00230AB1"/>
    <w:rsid w:val="002531C2"/>
    <w:rsid w:val="00275C40"/>
    <w:rsid w:val="002F23F2"/>
    <w:rsid w:val="00365A53"/>
    <w:rsid w:val="0038077A"/>
    <w:rsid w:val="003A52A5"/>
    <w:rsid w:val="00416C23"/>
    <w:rsid w:val="00437B98"/>
    <w:rsid w:val="00466459"/>
    <w:rsid w:val="004760AF"/>
    <w:rsid w:val="00496934"/>
    <w:rsid w:val="004B4F53"/>
    <w:rsid w:val="004B700E"/>
    <w:rsid w:val="004B768B"/>
    <w:rsid w:val="005322D9"/>
    <w:rsid w:val="00566FCD"/>
    <w:rsid w:val="005C1C80"/>
    <w:rsid w:val="005E2F1D"/>
    <w:rsid w:val="005F60CE"/>
    <w:rsid w:val="00633BB3"/>
    <w:rsid w:val="00681979"/>
    <w:rsid w:val="00690187"/>
    <w:rsid w:val="006D42D1"/>
    <w:rsid w:val="006F1243"/>
    <w:rsid w:val="00753E0E"/>
    <w:rsid w:val="007800DB"/>
    <w:rsid w:val="007A3B74"/>
    <w:rsid w:val="007C7DE9"/>
    <w:rsid w:val="007D2279"/>
    <w:rsid w:val="007E0A85"/>
    <w:rsid w:val="008207F8"/>
    <w:rsid w:val="0085508C"/>
    <w:rsid w:val="008A3EC3"/>
    <w:rsid w:val="008B4DFD"/>
    <w:rsid w:val="00971285"/>
    <w:rsid w:val="00983911"/>
    <w:rsid w:val="0099343D"/>
    <w:rsid w:val="009C6D7B"/>
    <w:rsid w:val="009D7332"/>
    <w:rsid w:val="009E76C3"/>
    <w:rsid w:val="00A13AEB"/>
    <w:rsid w:val="00A646AA"/>
    <w:rsid w:val="00A773A6"/>
    <w:rsid w:val="00A81F8A"/>
    <w:rsid w:val="00AC2DE1"/>
    <w:rsid w:val="00AC718C"/>
    <w:rsid w:val="00AF66F8"/>
    <w:rsid w:val="00B62BFD"/>
    <w:rsid w:val="00B91D71"/>
    <w:rsid w:val="00C44B17"/>
    <w:rsid w:val="00C77161"/>
    <w:rsid w:val="00CF6A10"/>
    <w:rsid w:val="00D30BD0"/>
    <w:rsid w:val="00D426AE"/>
    <w:rsid w:val="00DA50D3"/>
    <w:rsid w:val="00E15508"/>
    <w:rsid w:val="00E21BAB"/>
    <w:rsid w:val="00E229CA"/>
    <w:rsid w:val="00E328F5"/>
    <w:rsid w:val="00E35D7C"/>
    <w:rsid w:val="00E87A6C"/>
    <w:rsid w:val="00F03ACB"/>
    <w:rsid w:val="00F31958"/>
    <w:rsid w:val="00F43482"/>
    <w:rsid w:val="00F52164"/>
    <w:rsid w:val="00F77614"/>
    <w:rsid w:val="00F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1AA54"/>
  <w15:chartTrackingRefBased/>
  <w15:docId w15:val="{5C4F8C72-0BEE-4E2D-8318-DED5D0CA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DE1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64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A3B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A3B7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B7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D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DE1"/>
    <w:rPr>
      <w:sz w:val="20"/>
      <w:szCs w:val="20"/>
    </w:rPr>
  </w:style>
  <w:style w:type="paragraph" w:styleId="a7">
    <w:name w:val="List Paragraph"/>
    <w:basedOn w:val="a"/>
    <w:uiPriority w:val="34"/>
    <w:qFormat/>
    <w:rsid w:val="00AC2DE1"/>
    <w:pPr>
      <w:ind w:leftChars="200" w:left="480"/>
    </w:pPr>
  </w:style>
  <w:style w:type="paragraph" w:styleId="21">
    <w:name w:val="Body Text Indent 2"/>
    <w:basedOn w:val="a"/>
    <w:link w:val="22"/>
    <w:rsid w:val="00AC2DE1"/>
    <w:pPr>
      <w:spacing w:line="540" w:lineRule="exact"/>
      <w:ind w:firstLine="482"/>
      <w:jc w:val="both"/>
    </w:pPr>
    <w:rPr>
      <w:rFonts w:eastAsia="標楷體"/>
      <w:sz w:val="28"/>
    </w:rPr>
  </w:style>
  <w:style w:type="character" w:customStyle="1" w:styleId="22">
    <w:name w:val="本文縮排 2 字元"/>
    <w:basedOn w:val="a0"/>
    <w:link w:val="21"/>
    <w:rsid w:val="00AC2DE1"/>
    <w:rPr>
      <w:rFonts w:ascii="新細明體" w:eastAsia="標楷體" w:hAnsi="新細明體" w:cs="新細明體"/>
      <w:kern w:val="0"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AC2DE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64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Date"/>
    <w:basedOn w:val="a"/>
    <w:next w:val="a"/>
    <w:link w:val="aa"/>
    <w:uiPriority w:val="99"/>
    <w:semiHidden/>
    <w:unhideWhenUsed/>
    <w:rsid w:val="00466459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466459"/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7A3B7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A3B74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7A3B74"/>
    <w:rPr>
      <w:rFonts w:asciiTheme="majorHAnsi" w:eastAsiaTheme="majorEastAsia" w:hAnsiTheme="majorHAnsi" w:cstheme="majorBidi"/>
      <w:kern w:val="0"/>
      <w:sz w:val="36"/>
      <w:szCs w:val="36"/>
    </w:rPr>
  </w:style>
  <w:style w:type="character" w:styleId="ab">
    <w:name w:val="Hyperlink"/>
    <w:uiPriority w:val="99"/>
    <w:unhideWhenUsed/>
    <w:rsid w:val="007A3B7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A3B74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7A3B74"/>
    <w:pPr>
      <w:spacing w:before="100" w:beforeAutospacing="1" w:after="100" w:afterAutospacing="1"/>
    </w:pPr>
  </w:style>
  <w:style w:type="table" w:styleId="ad">
    <w:name w:val="Table Grid"/>
    <w:basedOn w:val="a1"/>
    <w:uiPriority w:val="59"/>
    <w:rsid w:val="007A3B7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章"/>
    <w:basedOn w:val="a"/>
    <w:rsid w:val="007A3B74"/>
    <w:pPr>
      <w:adjustRightInd w:val="0"/>
      <w:spacing w:before="120" w:after="120"/>
      <w:jc w:val="center"/>
      <w:textAlignment w:val="baseline"/>
    </w:pPr>
    <w:rPr>
      <w:rFonts w:ascii="全真中黑體" w:eastAsia="全真中黑體"/>
      <w:sz w:val="32"/>
    </w:rPr>
  </w:style>
  <w:style w:type="character" w:styleId="af">
    <w:name w:val="annotation reference"/>
    <w:basedOn w:val="a0"/>
    <w:uiPriority w:val="99"/>
    <w:semiHidden/>
    <w:unhideWhenUsed/>
    <w:rsid w:val="007A3B74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7A3B74"/>
  </w:style>
  <w:style w:type="character" w:customStyle="1" w:styleId="af1">
    <w:name w:val="註解文字 字元"/>
    <w:basedOn w:val="a0"/>
    <w:link w:val="af0"/>
    <w:uiPriority w:val="99"/>
    <w:semiHidden/>
    <w:rsid w:val="007A3B74"/>
    <w:rPr>
      <w:rFonts w:ascii="新細明體" w:eastAsia="新細明體" w:hAnsi="新細明體" w:cs="新細明體"/>
      <w:kern w:val="0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A3B74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7A3B74"/>
    <w:rPr>
      <w:rFonts w:ascii="新細明體" w:eastAsia="新細明體" w:hAnsi="新細明體" w:cs="新細明體"/>
      <w:b/>
      <w:bCs/>
      <w:kern w:val="0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7A3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7A3B7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f6">
    <w:name w:val="TOC Heading"/>
    <w:basedOn w:val="1"/>
    <w:next w:val="a"/>
    <w:uiPriority w:val="39"/>
    <w:unhideWhenUsed/>
    <w:qFormat/>
    <w:rsid w:val="007A3B74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7A3B7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A3B74"/>
    <w:pPr>
      <w:tabs>
        <w:tab w:val="right" w:leader="dot" w:pos="829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3B7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A3B74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A3B74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A3B74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A3B74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A3B74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A3B74"/>
    <w:pPr>
      <w:ind w:left="1920"/>
    </w:pPr>
    <w:rPr>
      <w:rFonts w:asciiTheme="minorHAnsi" w:hAnsiTheme="minorHAnsi"/>
      <w:sz w:val="18"/>
      <w:szCs w:val="18"/>
    </w:rPr>
  </w:style>
  <w:style w:type="character" w:customStyle="1" w:styleId="textexposedshow">
    <w:name w:val="text_exposed_show"/>
    <w:basedOn w:val="a0"/>
    <w:rsid w:val="007A3B74"/>
  </w:style>
  <w:style w:type="character" w:customStyle="1" w:styleId="uficommentbody">
    <w:name w:val="uficommentbody"/>
    <w:basedOn w:val="a0"/>
    <w:rsid w:val="007A3B74"/>
  </w:style>
  <w:style w:type="paragraph" w:customStyle="1" w:styleId="Standard">
    <w:name w:val="Standard"/>
    <w:rsid w:val="007A3B74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  <w:style w:type="paragraph" w:customStyle="1" w:styleId="Default">
    <w:name w:val="Default"/>
    <w:rsid w:val="007A3B74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customStyle="1" w:styleId="title-text">
    <w:name w:val="title-text"/>
    <w:basedOn w:val="a0"/>
    <w:rsid w:val="007A3B74"/>
  </w:style>
  <w:style w:type="paragraph" w:styleId="af7">
    <w:name w:val="endnote text"/>
    <w:basedOn w:val="a"/>
    <w:link w:val="af8"/>
    <w:uiPriority w:val="99"/>
    <w:semiHidden/>
    <w:unhideWhenUsed/>
    <w:rsid w:val="007A3B74"/>
    <w:pPr>
      <w:snapToGrid w:val="0"/>
    </w:pPr>
  </w:style>
  <w:style w:type="character" w:customStyle="1" w:styleId="af8">
    <w:name w:val="章節附註文字 字元"/>
    <w:basedOn w:val="a0"/>
    <w:link w:val="af7"/>
    <w:uiPriority w:val="99"/>
    <w:semiHidden/>
    <w:rsid w:val="007A3B74"/>
    <w:rPr>
      <w:rFonts w:ascii="新細明體" w:eastAsia="新細明體" w:hAnsi="新細明體" w:cs="新細明體"/>
      <w:kern w:val="0"/>
      <w:szCs w:val="24"/>
    </w:rPr>
  </w:style>
  <w:style w:type="character" w:styleId="af9">
    <w:name w:val="endnote reference"/>
    <w:basedOn w:val="a0"/>
    <w:uiPriority w:val="99"/>
    <w:semiHidden/>
    <w:unhideWhenUsed/>
    <w:rsid w:val="007A3B74"/>
    <w:rPr>
      <w:vertAlign w:val="superscript"/>
    </w:rPr>
  </w:style>
  <w:style w:type="paragraph" w:styleId="afa">
    <w:name w:val="table of figures"/>
    <w:basedOn w:val="a"/>
    <w:next w:val="a"/>
    <w:uiPriority w:val="99"/>
    <w:unhideWhenUsed/>
    <w:rsid w:val="007A3B74"/>
    <w:pPr>
      <w:ind w:leftChars="400" w:left="400" w:hangingChars="200" w:hanging="200"/>
    </w:pPr>
    <w:rPr>
      <w:rFonts w:eastAsia="BiauKai"/>
      <w:sz w:val="28"/>
    </w:rPr>
  </w:style>
  <w:style w:type="character" w:styleId="afb">
    <w:name w:val="page number"/>
    <w:basedOn w:val="a0"/>
    <w:uiPriority w:val="99"/>
    <w:semiHidden/>
    <w:unhideWhenUsed/>
    <w:rsid w:val="007A3B74"/>
  </w:style>
  <w:style w:type="table" w:styleId="24">
    <w:name w:val="Plain Table 2"/>
    <w:basedOn w:val="a1"/>
    <w:uiPriority w:val="42"/>
    <w:rsid w:val="007A3B74"/>
    <w:rPr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c">
    <w:name w:val="Grid Table Light"/>
    <w:basedOn w:val="a1"/>
    <w:uiPriority w:val="40"/>
    <w:rsid w:val="007A3B74"/>
    <w:rPr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7A3B74"/>
    <w:rPr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未解析的提及項目1"/>
    <w:basedOn w:val="a0"/>
    <w:uiPriority w:val="99"/>
    <w:semiHidden/>
    <w:unhideWhenUsed/>
    <w:rsid w:val="007A3B74"/>
    <w:rPr>
      <w:color w:val="605E5C"/>
      <w:shd w:val="clear" w:color="auto" w:fill="E1DFDD"/>
    </w:rPr>
  </w:style>
  <w:style w:type="table" w:styleId="32">
    <w:name w:val="Plain Table 3"/>
    <w:basedOn w:val="a1"/>
    <w:uiPriority w:val="43"/>
    <w:rsid w:val="007A3B74"/>
    <w:rPr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externalref">
    <w:name w:val="externalref"/>
    <w:basedOn w:val="a0"/>
    <w:rsid w:val="007A3B74"/>
  </w:style>
  <w:style w:type="character" w:customStyle="1" w:styleId="refsource">
    <w:name w:val="refsource"/>
    <w:basedOn w:val="a0"/>
    <w:rsid w:val="007A3B74"/>
  </w:style>
  <w:style w:type="table" w:styleId="42">
    <w:name w:val="Plain Table 4"/>
    <w:basedOn w:val="a1"/>
    <w:uiPriority w:val="44"/>
    <w:rsid w:val="007A3B74"/>
    <w:rPr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樣式1"/>
    <w:basedOn w:val="a"/>
    <w:qFormat/>
    <w:rsid w:val="007A3B74"/>
    <w:rPr>
      <w:rFonts w:ascii="BiauKai" w:eastAsia="標楷體" w:hAnsi="BiauKa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16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政豪 劉</dc:creator>
  <cp:keywords/>
  <dc:description/>
  <cp:lastModifiedBy>劉政豪</cp:lastModifiedBy>
  <cp:revision>15</cp:revision>
  <dcterms:created xsi:type="dcterms:W3CDTF">2021-08-30T05:01:00Z</dcterms:created>
  <dcterms:modified xsi:type="dcterms:W3CDTF">2021-09-28T09:08:00Z</dcterms:modified>
</cp:coreProperties>
</file>