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jc w:val="center"/>
      </w:pPr>
      <w:r>
        <w:rPr>
          <w:rFonts w:ascii="Segoe UI" w:hAnsi="Segoe UI"/>
          <w:b/>
          <w:color w:val="1565C0"/>
          <w:sz w:val="18"/>
        </w:rPr>
        <w:t>PROYECTO IAC</w:t>
      </w:r>
    </w:p>
    <w:p>
      <w:pPr>
        <w:pStyle w:val="Heading1"/>
        <w:spacing w:line="312" w:lineRule="auto" w:after="560"/>
        <w:jc w:val="center"/>
      </w:pPr>
      <w:r>
        <w:rPr>
          <w:rFonts w:ascii="Segoe UI" w:hAnsi="Segoe UI"/>
          <w:b/>
          <w:color w:val="1A237E"/>
          <w:sz w:val="56"/>
        </w:rPr>
        <w:t>Reporte Técnico</w:t>
        <w:br/>
      </w:r>
      <w:r>
        <w:rPr>
          <w:rFonts w:ascii="Segoe UI" w:hAnsi="Segoe UI"/>
          <w:b/>
          <w:color w:val="1A237E"/>
          <w:sz w:val="56"/>
        </w:rPr>
        <w:t>FreshTrack · Avance 2</w:t>
      </w:r>
    </w:p>
    <w:p>
      <w:pPr>
        <w:spacing w:after="513"/>
        <w:jc w:val="center"/>
      </w:pPr>
      <w:r>
        <w:rPr>
          <w:rFonts w:ascii="Segoe UI" w:hAnsi="Segoe UI"/>
          <w:b w:val="0"/>
          <w:color w:val="616161"/>
          <w:sz w:val="27"/>
        </w:rPr>
        <w:t>Sistema de gestión de inventario y reducción de desperdicio para retail de productos perecederos</w:t>
      </w:r>
    </w:p>
    <w:p>
      <w:pPr>
        <w:spacing w:before="52"/>
        <w:jc w:val="center"/>
      </w:pPr>
      <w:r>
        <w:rPr>
          <w:rFonts w:ascii="Segoe UI" w:hAnsi="Segoe UI"/>
          <w:color w:val="616161"/>
          <w:sz w:val="21"/>
        </w:rPr>
        <w:t>Equipo 05 · Proyecto FreshTrack</w:t>
      </w:r>
    </w:p>
    <w:p>
      <w:pPr>
        <w:spacing w:before="52"/>
        <w:jc w:val="center"/>
      </w:pPr>
      <w:r>
        <w:rPr>
          <w:rFonts w:ascii="Segoe UI" w:hAnsi="Segoe UI"/>
          <w:color w:val="616161"/>
          <w:sz w:val="21"/>
        </w:rPr>
        <w:t>Avance 2 — operación con datos reales en PostgreSQL</w:t>
      </w:r>
    </w:p>
    <w:p>
      <w:pPr>
        <w:spacing w:before="52"/>
        <w:jc w:val="center"/>
      </w:pPr>
      <w:r>
        <w:rPr>
          <w:rFonts w:ascii="Segoe UI" w:hAnsi="Segoe UI"/>
          <w:color w:val="616161"/>
          <w:sz w:val="21"/>
        </w:rPr>
        <w:t>PostgreSQL 17 · esquemas operacion, analitica, auditoria</w:t>
      </w:r>
    </w:p>
    <w:p>
      <w:pPr>
        <w:spacing w:before="52"/>
        <w:jc w:val="center"/>
      </w:pPr>
      <w:r>
        <w:rPr>
          <w:rFonts w:ascii="Segoe UI" w:hAnsi="Segoe UI"/>
          <w:color w:val="616161"/>
          <w:sz w:val="21"/>
        </w:rPr>
        <w:t>Flask 3 · SQLAlchemy 2 · psycopg 3</w:t>
      </w:r>
    </w:p>
    <w:p>
      <w:pPr>
        <w:spacing w:before="52"/>
        <w:jc w:val="center"/>
      </w:pPr>
      <w:r>
        <w:rPr>
          <w:rFonts w:ascii="Segoe UI" w:hAnsi="Segoe UI"/>
          <w:color w:val="616161"/>
          <w:sz w:val="21"/>
        </w:rPr>
        <w:t>28 de septiembre de 2026</w:t>
      </w:r>
      <w:r/>
    </w:p>
    <w:p>
      <w:pPr>
        <w:sectPr>
          <w:type w:val="nextPage"/>
          <w:pgSz w:w="11906" w:h="16838"/>
          <w:pgMar w:top="1417" w:bottom="1134" w:left="1417" w:right="1417"/>
        </w:sectPr>
      </w:pPr>
    </w:p>
    <w:p>
      <w:pPr>
        <w:spacing w:after="189"/>
        <w:jc w:val="left"/>
      </w:pPr>
      <w:r>
        <w:rPr>
          <w:rFonts w:ascii="Segoe UI" w:hAnsi="Segoe UI"/>
          <w:b/>
          <w:color w:val="1A237E"/>
          <w:sz w:val="27"/>
        </w:rPr>
        <w:t>Índice</w:t>
      </w:r>
    </w:p>
    <w:p>
      <w:pPr>
        <w:pStyle w:val="ListNumber"/>
        <w:numPr>
          <w:ilvl w:val="0"/>
          <w:numId w:val="10"/>
        </w:numPr>
        <w:spacing w:after="67"/>
        <w:jc w:val="left"/>
      </w:pPr>
      <w:hyperlink w:anchor="sec-1">
        <w:r>
          <w:rPr>
            <w:color w:val="0000EE"/>
            <w:u w:val="single"/>
          </w:rPr>
          <w:t>1. Resumen ejecutivo</w:t>
        </w:r>
      </w:hyperlink>
    </w:p>
    <w:p>
      <w:pPr>
        <w:pStyle w:val="ListNumber"/>
        <w:numPr>
          <w:ilvl w:val="0"/>
          <w:numId w:val="10"/>
        </w:numPr>
        <w:spacing w:after="67"/>
        <w:jc w:val="left"/>
      </w:pPr>
      <w:hyperlink w:anchor="sec-2">
        <w:r>
          <w:rPr>
            <w:color w:val="0000EE"/>
            <w:u w:val="single"/>
          </w:rPr>
          <w:t>2. Introducción y objetivos</w:t>
        </w:r>
      </w:hyperlink>
    </w:p>
    <w:p>
      <w:pPr>
        <w:pStyle w:val="ListNumber"/>
        <w:numPr>
          <w:ilvl w:val="0"/>
          <w:numId w:val="10"/>
        </w:numPr>
        <w:spacing w:after="67"/>
        <w:jc w:val="left"/>
      </w:pPr>
      <w:hyperlink w:anchor="sec-3">
        <w:r>
          <w:rPr>
            <w:color w:val="0000EE"/>
            <w:u w:val="single"/>
          </w:rPr>
          <w:t>3. Alcance del Avance 2 y criterios de aceptación</w:t>
        </w:r>
      </w:hyperlink>
    </w:p>
    <w:p>
      <w:pPr>
        <w:pStyle w:val="ListNumber"/>
        <w:numPr>
          <w:ilvl w:val="0"/>
          <w:numId w:val="10"/>
        </w:numPr>
        <w:spacing w:after="67"/>
        <w:jc w:val="left"/>
      </w:pPr>
      <w:hyperlink w:anchor="sec-4">
        <w:r>
          <w:rPr>
            <w:color w:val="0000EE"/>
            <w:u w:val="single"/>
          </w:rPr>
          <w:t>4. Arquitectura de la solución</w:t>
        </w:r>
      </w:hyperlink>
    </w:p>
    <w:p>
      <w:pPr>
        <w:pStyle w:val="ListNumber"/>
        <w:numPr>
          <w:ilvl w:val="0"/>
          <w:numId w:val="10"/>
        </w:numPr>
        <w:spacing w:after="67"/>
        <w:jc w:val="left"/>
      </w:pPr>
      <w:hyperlink w:anchor="sec-5">
        <w:r>
          <w:rPr>
            <w:color w:val="0000EE"/>
            <w:u w:val="single"/>
          </w:rPr>
          <w:t>5. Modelo de datos en PostgreSQL</w:t>
        </w:r>
      </w:hyperlink>
    </w:p>
    <w:p>
      <w:pPr>
        <w:pStyle w:val="ListNumber"/>
        <w:numPr>
          <w:ilvl w:val="0"/>
          <w:numId w:val="10"/>
        </w:numPr>
        <w:spacing w:after="67"/>
        <w:jc w:val="left"/>
      </w:pPr>
      <w:hyperlink w:anchor="sec-6">
        <w:r>
          <w:rPr>
            <w:color w:val="0000EE"/>
            <w:u w:val="single"/>
          </w:rPr>
          <w:t>6. Seguridad y autenticación</w:t>
        </w:r>
      </w:hyperlink>
    </w:p>
    <w:p>
      <w:pPr>
        <w:pStyle w:val="ListNumber"/>
        <w:numPr>
          <w:ilvl w:val="0"/>
          <w:numId w:val="10"/>
        </w:numPr>
        <w:spacing w:after="67"/>
        <w:jc w:val="left"/>
      </w:pPr>
      <w:hyperlink w:anchor="sec-7">
        <w:r>
          <w:rPr>
            <w:color w:val="0000EE"/>
            <w:u w:val="single"/>
          </w:rPr>
          <w:t>7. Catálogos maestros: CRUD reales</w:t>
        </w:r>
      </w:hyperlink>
    </w:p>
    <w:p>
      <w:pPr>
        <w:pStyle w:val="ListNumber"/>
        <w:numPr>
          <w:ilvl w:val="0"/>
          <w:numId w:val="10"/>
        </w:numPr>
        <w:spacing w:after="67"/>
        <w:jc w:val="left"/>
      </w:pPr>
      <w:hyperlink w:anchor="sec-8">
        <w:r>
          <w:rPr>
            <w:color w:val="0000EE"/>
            <w:u w:val="single"/>
          </w:rPr>
          <w:t>8. Gestión de lotes, vida útil residual y clasificación de riesgo</w:t>
        </w:r>
      </w:hyperlink>
    </w:p>
    <w:p>
      <w:pPr>
        <w:pStyle w:val="ListNumber"/>
        <w:numPr>
          <w:ilvl w:val="0"/>
          <w:numId w:val="10"/>
        </w:numPr>
        <w:spacing w:after="67"/>
        <w:jc w:val="left"/>
      </w:pPr>
      <w:hyperlink w:anchor="sec-9">
        <w:r>
          <w:rPr>
            <w:color w:val="0000EE"/>
            <w:u w:val="single"/>
          </w:rPr>
          <w:t>9. Inventario, consumo FEFO y trazabilidad</w:t>
        </w:r>
      </w:hyperlink>
    </w:p>
    <w:p>
      <w:pPr>
        <w:pStyle w:val="ListNumber"/>
        <w:numPr>
          <w:ilvl w:val="0"/>
          <w:numId w:val="10"/>
        </w:numPr>
        <w:spacing w:after="67"/>
        <w:jc w:val="left"/>
      </w:pPr>
      <w:hyperlink w:anchor="sec-10">
        <w:r>
          <w:rPr>
            <w:color w:val="0000EE"/>
            <w:u w:val="single"/>
          </w:rPr>
          <w:t>10. Ventas y mermas</w:t>
        </w:r>
      </w:hyperlink>
    </w:p>
    <w:p>
      <w:pPr>
        <w:pStyle w:val="ListNumber"/>
        <w:numPr>
          <w:ilvl w:val="0"/>
          <w:numId w:val="10"/>
        </w:numPr>
        <w:spacing w:after="67"/>
        <w:jc w:val="left"/>
      </w:pPr>
      <w:hyperlink w:anchor="sec-11">
        <w:r>
          <w:rPr>
            <w:color w:val="0000EE"/>
            <w:u w:val="single"/>
          </w:rPr>
          <w:t>11. Pronóstico de demanda y medición del error</w:t>
        </w:r>
      </w:hyperlink>
    </w:p>
    <w:p>
      <w:pPr>
        <w:pStyle w:val="ListNumber"/>
        <w:numPr>
          <w:ilvl w:val="0"/>
          <w:numId w:val="10"/>
        </w:numPr>
        <w:spacing w:after="67"/>
        <w:jc w:val="left"/>
      </w:pPr>
      <w:hyperlink w:anchor="sec-12">
        <w:r>
          <w:rPr>
            <w:color w:val="0000EE"/>
            <w:u w:val="single"/>
          </w:rPr>
          <w:t>12. Reabastecimiento, transferencias y descuentos con aprobación humana</w:t>
        </w:r>
      </w:hyperlink>
    </w:p>
    <w:p>
      <w:pPr>
        <w:pStyle w:val="ListNumber"/>
        <w:numPr>
          <w:ilvl w:val="0"/>
          <w:numId w:val="10"/>
        </w:numPr>
        <w:spacing w:after="67"/>
        <w:jc w:val="left"/>
      </w:pPr>
      <w:hyperlink w:anchor="sec-13">
        <w:r>
          <w:rPr>
            <w:color w:val="0000EE"/>
            <w:u w:val="single"/>
          </w:rPr>
          <w:t>13. Motor de alertas</w:t>
        </w:r>
      </w:hyperlink>
    </w:p>
    <w:p>
      <w:pPr>
        <w:pStyle w:val="ListNumber"/>
        <w:numPr>
          <w:ilvl w:val="0"/>
          <w:numId w:val="10"/>
        </w:numPr>
        <w:spacing w:after="67"/>
        <w:jc w:val="left"/>
      </w:pPr>
      <w:hyperlink w:anchor="sec-14">
        <w:r>
          <w:rPr>
            <w:color w:val="0000EE"/>
            <w:u w:val="single"/>
          </w:rPr>
          <w:t>14. Panel de negocio, desperdicio evitado y auditoría</w:t>
        </w:r>
      </w:hyperlink>
    </w:p>
    <w:p>
      <w:pPr>
        <w:pStyle w:val="ListNumber"/>
        <w:numPr>
          <w:ilvl w:val="0"/>
          <w:numId w:val="10"/>
        </w:numPr>
        <w:spacing w:after="67"/>
        <w:jc w:val="left"/>
      </w:pPr>
      <w:hyperlink w:anchor="sec-15">
        <w:r>
          <w:rPr>
            <w:color w:val="0000EE"/>
            <w:u w:val="single"/>
          </w:rPr>
          <w:t>15. Evidencia de funcionamiento</w:t>
        </w:r>
      </w:hyperlink>
    </w:p>
    <w:p>
      <w:pPr>
        <w:pStyle w:val="ListNumber"/>
        <w:numPr>
          <w:ilvl w:val="0"/>
          <w:numId w:val="10"/>
        </w:numPr>
        <w:spacing w:after="67"/>
        <w:jc w:val="left"/>
      </w:pPr>
      <w:hyperlink w:anchor="sec-16">
        <w:r>
          <w:rPr>
            <w:color w:val="0000EE"/>
            <w:u w:val="single"/>
          </w:rPr>
          <w:t>16. Conclusiones, limitaciones y trabajo pendiente</w:t>
        </w:r>
      </w:hyperlink>
    </w:p>
    <w:p>
      <w:pPr>
        <w:pStyle w:val="ListNumber"/>
        <w:numPr>
          <w:ilvl w:val="0"/>
          <w:numId w:val="10"/>
        </w:numPr>
        <w:spacing w:after="67"/>
        <w:jc w:val="left"/>
      </w:pPr>
      <w:hyperlink w:anchor="sec-17">
        <w:r>
          <w:rPr>
            <w:color w:val="0000EE"/>
            <w:u w:val="single"/>
          </w:rPr>
          <w:t>Anexo A — Cómo reproducir</w:t>
        </w:r>
      </w:hyperlink>
    </w:p>
    <w:p>
      <w:pPr>
        <w:pStyle w:val="ListNumber"/>
        <w:numPr>
          <w:ilvl w:val="0"/>
          <w:numId w:val="10"/>
        </w:numPr>
        <w:spacing w:after="67"/>
        <w:jc w:val="left"/>
      </w:pPr>
      <w:hyperlink w:anchor="sec-18">
        <w:r>
          <w:rPr>
            <w:color w:val="0000EE"/>
            <w:u w:val="single"/>
          </w:rPr>
          <w:t>Anexo B — Cuentas de demostración</w:t>
        </w:r>
      </w:hyperlink>
    </w:p>
    <w:p>
      <w:pPr>
        <w:pStyle w:val="ListNumber"/>
        <w:numPr>
          <w:ilvl w:val="0"/>
          <w:numId w:val="10"/>
        </w:numPr>
        <w:spacing w:after="67"/>
        <w:jc w:val="left"/>
      </w:pPr>
      <w:hyperlink w:anchor="sec-19">
        <w:r>
          <w:rPr>
            <w:color w:val="0000EE"/>
            <w:u w:val="single"/>
          </w:rPr>
          <w:t>Anexo C — Estructura del repositorio</w:t>
        </w:r>
      </w:hyperlink>
    </w:p>
    <w:p>
      <w:pPr>
        <w:spacing w:after="189"/>
        <w:jc w:val="left"/>
      </w:pPr>
      <w:r>
        <w:rPr>
          <w:rFonts w:ascii="Segoe UI" w:hAnsi="Segoe UI"/>
          <w:b/>
          <w:color w:val="1A237E"/>
          <w:sz w:val="27"/>
        </w:rPr>
        <w:t>Resumen ejecutivo en cifras</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Indicador</w:t>
            </w:r>
          </w:p>
        </w:tc>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Valor</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FFFFF"/>
            <w:tcMar>
              <w:top w:w="101" w:type="dxa"/>
              <w:bottom w:w="101" w:type="dxa"/>
              <w:left w:w="132" w:type="dxa"/>
              <w:right w:w="132" w:type="dxa"/>
            </w:tcMar>
          </w:tcPr>
          <w:p>
            <w:pPr>
              <w:jc w:val="left"/>
              <w:spacing w:line="240" w:lineRule="auto" w:before="45" w:after="45"/>
            </w:pPr>
            <w:r>
              <w:rPr>
                <w:color w:val="212121"/>
                <w:sz w:val="18"/>
              </w:rPr>
              <w:t>Pasos de demostración ejecutados</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FFFFF"/>
            <w:tcMar>
              <w:top w:w="101" w:type="dxa"/>
              <w:bottom w:w="101" w:type="dxa"/>
              <w:left w:w="132" w:type="dxa"/>
              <w:right w:w="132" w:type="dxa"/>
            </w:tcMar>
          </w:tcPr>
          <w:p>
            <w:pPr>
              <w:jc w:val="right"/>
              <w:spacing w:line="240" w:lineRule="auto" w:before="55" w:after="55"/>
            </w:pPr>
            <w:r>
              <w:rPr>
                <w:rFonts w:ascii="Consolas" w:hAnsi="Consolas" w:eastAsia="Consolas"/>
                <w:b/>
                <w:color w:val="1565C0"/>
                <w:sz w:val="22"/>
              </w:rPr>
              <w:t>20</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FFFFF"/>
            <w:tcMar>
              <w:top w:w="101" w:type="dxa"/>
              <w:bottom w:w="101" w:type="dxa"/>
              <w:left w:w="132" w:type="dxa"/>
              <w:right w:w="132" w:type="dxa"/>
            </w:tcMar>
          </w:tcPr>
          <w:p>
            <w:pPr>
              <w:jc w:val="left"/>
              <w:spacing w:line="240" w:lineRule="auto" w:before="45" w:after="45"/>
            </w:pPr>
            <w:r>
              <w:rPr>
                <w:color w:val="212121"/>
                <w:sz w:val="18"/>
              </w:rPr>
              <w:t>Comprobaciones del escenario</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FFFFF"/>
            <w:tcMar>
              <w:top w:w="101" w:type="dxa"/>
              <w:bottom w:w="101" w:type="dxa"/>
              <w:left w:w="132" w:type="dxa"/>
              <w:right w:w="132" w:type="dxa"/>
            </w:tcMar>
          </w:tcPr>
          <w:p>
            <w:pPr>
              <w:jc w:val="right"/>
              <w:spacing w:line="240" w:lineRule="auto" w:before="55" w:after="55"/>
            </w:pPr>
            <w:r>
              <w:rPr>
                <w:rFonts w:ascii="Consolas" w:hAnsi="Consolas" w:eastAsia="Consolas"/>
                <w:b/>
                <w:color w:val="1565C0"/>
                <w:sz w:val="22"/>
              </w:rPr>
              <w:t>61</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FFFFF"/>
            <w:tcMar>
              <w:top w:w="101" w:type="dxa"/>
              <w:bottom w:w="101" w:type="dxa"/>
              <w:left w:w="132" w:type="dxa"/>
              <w:right w:w="132" w:type="dxa"/>
            </w:tcMar>
          </w:tcPr>
          <w:p>
            <w:pPr>
              <w:jc w:val="left"/>
              <w:spacing w:line="240" w:lineRule="auto" w:before="45" w:after="45"/>
            </w:pPr>
            <w:r>
              <w:rPr>
                <w:color w:val="212121"/>
                <w:sz w:val="18"/>
              </w:rPr>
              <w:t>Comprobaciones sin fallos (total)</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FFFFF"/>
            <w:tcMar>
              <w:top w:w="101" w:type="dxa"/>
              <w:bottom w:w="101" w:type="dxa"/>
              <w:left w:w="132" w:type="dxa"/>
              <w:right w:w="132" w:type="dxa"/>
            </w:tcMar>
          </w:tcPr>
          <w:p>
            <w:pPr>
              <w:jc w:val="right"/>
              <w:spacing w:line="240" w:lineRule="auto" w:before="55" w:after="55"/>
            </w:pPr>
            <w:r>
              <w:rPr>
                <w:rFonts w:ascii="Consolas" w:hAnsi="Consolas" w:eastAsia="Consolas"/>
                <w:b/>
                <w:color w:val="1565C0"/>
                <w:sz w:val="22"/>
              </w:rPr>
              <w:t>139</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FFFFF"/>
            <w:tcMar>
              <w:top w:w="101" w:type="dxa"/>
              <w:bottom w:w="101" w:type="dxa"/>
              <w:left w:w="132" w:type="dxa"/>
              <w:right w:w="132" w:type="dxa"/>
            </w:tcMar>
          </w:tcPr>
          <w:p>
            <w:pPr>
              <w:jc w:val="left"/>
              <w:spacing w:line="240" w:lineRule="auto" w:before="45" w:after="45"/>
            </w:pPr>
            <w:r>
              <w:rPr>
                <w:color w:val="212121"/>
                <w:sz w:val="18"/>
              </w:rPr>
              <w:t>Pantallas verificadas por rol</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FFFFF"/>
            <w:tcMar>
              <w:top w:w="101" w:type="dxa"/>
              <w:bottom w:w="101" w:type="dxa"/>
              <w:left w:w="132" w:type="dxa"/>
              <w:right w:w="132" w:type="dxa"/>
            </w:tcMar>
          </w:tcPr>
          <w:p>
            <w:pPr>
              <w:jc w:val="right"/>
              <w:spacing w:line="240" w:lineRule="auto" w:before="55" w:after="55"/>
            </w:pPr>
            <w:r>
              <w:rPr>
                <w:rFonts w:ascii="Consolas" w:hAnsi="Consolas" w:eastAsia="Consolas"/>
                <w:b/>
                <w:color w:val="1565C0"/>
                <w:sz w:val="22"/>
              </w:rPr>
              <w:t>73</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FFFFF"/>
            <w:tcMar>
              <w:top w:w="101" w:type="dxa"/>
              <w:bottom w:w="101" w:type="dxa"/>
              <w:left w:w="132" w:type="dxa"/>
              <w:right w:w="132" w:type="dxa"/>
            </w:tcMar>
          </w:tcPr>
          <w:p>
            <w:pPr>
              <w:jc w:val="left"/>
              <w:spacing w:line="240" w:lineRule="auto" w:before="45" w:after="45"/>
            </w:pPr>
            <w:r>
              <w:rPr>
                <w:color w:val="212121"/>
                <w:sz w:val="18"/>
              </w:rPr>
              <w:t>Tablas en PostgreSQL</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FFFFF"/>
            <w:tcMar>
              <w:top w:w="101" w:type="dxa"/>
              <w:bottom w:w="101" w:type="dxa"/>
              <w:left w:w="132" w:type="dxa"/>
              <w:right w:w="132" w:type="dxa"/>
            </w:tcMar>
          </w:tcPr>
          <w:p>
            <w:pPr>
              <w:jc w:val="right"/>
              <w:spacing w:line="240" w:lineRule="auto" w:before="55" w:after="55"/>
            </w:pPr>
            <w:r>
              <w:rPr>
                <w:rFonts w:ascii="Consolas" w:hAnsi="Consolas" w:eastAsia="Consolas"/>
                <w:b/>
                <w:color w:val="1565C0"/>
                <w:sz w:val="22"/>
              </w:rPr>
              <w:t>22</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FFFFF"/>
            <w:tcMar>
              <w:top w:w="101" w:type="dxa"/>
              <w:bottom w:w="101" w:type="dxa"/>
              <w:left w:w="132" w:type="dxa"/>
              <w:right w:w="132" w:type="dxa"/>
            </w:tcMar>
          </w:tcPr>
          <w:p>
            <w:pPr>
              <w:jc w:val="left"/>
              <w:spacing w:line="240" w:lineRule="auto" w:before="45" w:after="45"/>
            </w:pPr>
            <w:r>
              <w:rPr>
                <w:color w:val="212121"/>
                <w:sz w:val="18"/>
              </w:rPr>
              <w:t>Disparadores de auditoría</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FFFFF"/>
            <w:tcMar>
              <w:top w:w="101" w:type="dxa"/>
              <w:bottom w:w="101" w:type="dxa"/>
              <w:left w:w="132" w:type="dxa"/>
              <w:right w:w="132" w:type="dxa"/>
            </w:tcMar>
          </w:tcPr>
          <w:p>
            <w:pPr>
              <w:jc w:val="right"/>
              <w:spacing w:line="240" w:lineRule="auto" w:before="55" w:after="55"/>
            </w:pPr>
            <w:r>
              <w:rPr>
                <w:rFonts w:ascii="Consolas" w:hAnsi="Consolas" w:eastAsia="Consolas"/>
                <w:b/>
                <w:color w:val="1565C0"/>
                <w:sz w:val="22"/>
              </w:rPr>
              <w:t>41</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FFFFF"/>
            <w:tcMar>
              <w:top w:w="101" w:type="dxa"/>
              <w:bottom w:w="101" w:type="dxa"/>
              <w:left w:w="132" w:type="dxa"/>
              <w:right w:w="132" w:type="dxa"/>
            </w:tcMar>
          </w:tcPr>
          <w:p>
            <w:pPr>
              <w:jc w:val="left"/>
              <w:spacing w:line="240" w:lineRule="auto" w:before="45" w:after="45"/>
            </w:pPr>
            <w:r>
              <w:rPr>
                <w:color w:val="212121"/>
                <w:sz w:val="18"/>
              </w:rPr>
              <w:t>Eventos de auditoría registrados</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FFFFF"/>
            <w:tcMar>
              <w:top w:w="101" w:type="dxa"/>
              <w:bottom w:w="101" w:type="dxa"/>
              <w:left w:w="132" w:type="dxa"/>
              <w:right w:w="132" w:type="dxa"/>
            </w:tcMar>
          </w:tcPr>
          <w:p>
            <w:pPr>
              <w:jc w:val="right"/>
              <w:spacing w:line="240" w:lineRule="auto" w:before="55" w:after="55"/>
            </w:pPr>
            <w:r>
              <w:rPr>
                <w:rFonts w:ascii="Consolas" w:hAnsi="Consolas" w:eastAsia="Consolas"/>
                <w:b/>
                <w:color w:val="1565C0"/>
                <w:sz w:val="22"/>
              </w:rPr>
              <w:t>8 245</w:t>
            </w:r>
          </w:p>
        </w:tc>
      </w:tr>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FFFFF"/>
            <w:tcMar>
              <w:top w:w="101" w:type="dxa"/>
              <w:bottom w:w="101" w:type="dxa"/>
              <w:left w:w="132" w:type="dxa"/>
              <w:right w:w="132" w:type="dxa"/>
            </w:tcMar>
          </w:tcPr>
          <w:p>
            <w:pPr>
              <w:jc w:val="left"/>
              <w:spacing w:line="240" w:lineRule="auto" w:before="45" w:after="45"/>
            </w:pPr>
            <w:r>
              <w:rPr>
                <w:color w:val="212121"/>
                <w:sz w:val="18"/>
              </w:rPr>
              <w:t>Tipos de alerta activos</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FFFFF"/>
            <w:tcMar>
              <w:top w:w="101" w:type="dxa"/>
              <w:bottom w:w="101" w:type="dxa"/>
              <w:left w:w="132" w:type="dxa"/>
              <w:right w:w="132" w:type="dxa"/>
            </w:tcMar>
          </w:tcPr>
          <w:p>
            <w:pPr>
              <w:jc w:val="right"/>
              <w:spacing w:line="240" w:lineRule="auto" w:before="55" w:after="55"/>
            </w:pPr>
            <w:r>
              <w:rPr>
                <w:rFonts w:ascii="Consolas" w:hAnsi="Consolas" w:eastAsia="Consolas"/>
                <w:b/>
                <w:color w:val="1565C0"/>
                <w:sz w:val="22"/>
              </w:rPr>
              <w:t>7</w:t>
            </w:r>
          </w:p>
        </w:tc>
      </w:tr>
    </w:tbl>
    <w:p>
      <w:pPr>
        <w:spacing w:after="147"/>
        <w:jc w:val="both"/>
      </w:pPr>
      <w:r>
        <w:rPr>
          <w:color w:val="212121"/>
          <w:sz w:val="21"/>
        </w:rPr>
        <w:t xml:space="preserve">El flujo principal opera íntegramente contra PostgreSQL: se eliminó el archivo de datos simulados y toda la operación pasa por la base. La autenticación valida la contraseña dentro del motor con </w:t>
      </w:r>
      <w:r>
        <w:rPr>
          <w:rFonts w:ascii="Consolas" w:hAnsi="Consolas"/>
          <w:color w:val="1A237E"/>
          <w:sz w:val="18"/>
        </w:rPr>
        <w:t>crypt()</w:t>
      </w:r>
      <w:r>
        <w:rPr>
          <w:color w:val="212121"/>
          <w:sz w:val="21"/>
        </w:rPr>
        <w:t>, el consumo de inventario es FEFO y transaccional, el pronóstico se mide con MAE 6.3049 y WMAPE 11.4650 %, y la persistencia se demuestra reiniciando la aplicación.</w:t>
      </w:r>
    </w:p>
    <w:p>
      <w:pPr>
        <w:spacing w:before="722" w:after="266"/>
        <w:jc w:val="center"/>
      </w:pPr>
      <w:r>
        <w:rPr>
          <w:rFonts w:ascii="Segoe UI" w:hAnsi="Segoe UI"/>
          <w:b/>
          <w:color w:val="1A237E"/>
          <w:sz w:val="38"/>
        </w:rPr>
        <w:t>Reporte Técnico — FreshTrack · Avance 2</w:t>
      </w:r>
    </w:p>
    <w:p>
      <w:pPr>
        <w:spacing w:after="147"/>
        <w:jc w:val="both"/>
      </w:pPr>
      <w:r>
        <w:rPr>
          <w:b/>
          <w:color w:val="212121"/>
          <w:sz w:val="21"/>
        </w:rPr>
        <w:t>Proyecto IAC · Equipo 05</w:t>
      </w:r>
    </w:p>
    <w:p>
      <w:pPr>
        <w:spacing w:after="147"/>
        <w:jc w:val="both"/>
      </w:pPr>
      <w:r>
        <w:rPr>
          <w:color w:val="212121"/>
          <w:sz w:val="21"/>
        </w:rPr>
        <w:t>Sistema de gestión de inventario y reducción de desperdicio para retail de productos perecederos.</w:t>
      </w:r>
    </w:p>
    <w:p>
      <w:bookmarkStart w:id="0" w:name="sec-1"/>
      <w:pPr>
        <w:pStyle w:val="Heading2"/>
        <w:spacing w:before="513" w:after="189"/>
        <w:jc w:val="left"/>
        <w:pBdr>
          <w:bottom w:val="single" w:sz="6" w:space="3" w:color="E0E0E0"/>
        </w:pBdr>
      </w:pPr>
      <w:bookmarkEnd w:id="0"/>
      <w:r>
        <w:rPr>
          <w:rFonts w:ascii="Segoe UI" w:hAnsi="Segoe UI"/>
          <w:b/>
          <w:color w:val="1565C0"/>
          <w:sz w:val="27"/>
        </w:rPr>
        <w:t>1. Resumen ejecutivo</w:t>
      </w:r>
    </w:p>
    <w:p>
      <w:pPr>
        <w:spacing w:after="147"/>
        <w:jc w:val="both"/>
      </w:pPr>
      <w:r>
        <w:rPr>
          <w:color w:val="212121"/>
          <w:sz w:val="21"/>
        </w:rPr>
        <w:t xml:space="preserve">FreshTrack es una aplicación web que administra inventario perecedero por lote, consume existencias en orden FEFO, pronostica demanda y propone reabastecimiento, transferencias y descuentos para reducir mermas. Este reporte documenta el </w:t>
      </w:r>
      <w:r>
        <w:rPr>
          <w:b/>
          <w:color w:val="212121"/>
          <w:sz w:val="21"/>
        </w:rPr>
        <w:t>Avance 2</w:t>
      </w:r>
      <w:r>
        <w:rPr>
          <w:color w:val="212121"/>
          <w:sz w:val="21"/>
        </w:rPr>
        <w:t xml:space="preserve">, cuyo requisito central es que </w:t>
      </w:r>
      <w:r>
        <w:rPr>
          <w:b/>
          <w:color w:val="212121"/>
          <w:sz w:val="21"/>
        </w:rPr>
        <w:t>todo lo que se presente como funcional opere con datos reales almacenados en PostgreSQL</w:t>
      </w:r>
      <w:r>
        <w:rPr>
          <w:color w:val="212121"/>
          <w:sz w:val="21"/>
        </w:rPr>
        <w:t xml:space="preserve">, sin </w:t>
      </w:r>
      <w:r>
        <w:rPr>
          <w:rFonts w:ascii="Consolas" w:hAnsi="Consolas"/>
          <w:color w:val="1A237E"/>
          <w:sz w:val="18"/>
        </w:rPr>
        <w:t>mock_data.py</w:t>
      </w:r>
      <w:r>
        <w:rPr>
          <w:color w:val="212121"/>
          <w:sz w:val="21"/>
        </w:rPr>
        <w:t xml:space="preserve"> como fuente del flujo principal.</w:t>
      </w:r>
    </w:p>
    <w:p>
      <w:pPr>
        <w:spacing w:after="147"/>
        <w:jc w:val="both"/>
      </w:pPr>
      <w:r>
        <w:rPr>
          <w:color w:val="212121"/>
          <w:sz w:val="21"/>
        </w:rPr>
        <w:t>El resultado del avance se resume en cinco hechos verificables:</w:t>
      </w:r>
    </w:p>
    <w:p>
      <w:pPr>
        <w:pStyle w:val="ListNumber"/>
        <w:numPr>
          <w:ilvl w:val="0"/>
          <w:numId w:val="11"/>
        </w:numPr>
        <w:spacing w:after="63"/>
        <w:jc w:val="left"/>
      </w:pPr>
      <w:r>
        <w:rPr>
          <w:b/>
          <w:color w:val="212121"/>
          <w:sz w:val="21"/>
        </w:rPr>
        <w:t>No queda ningún dato simulado en el camino principal.</w:t>
      </w:r>
      <w:r>
        <w:rPr>
          <w:color w:val="212121"/>
          <w:sz w:val="21"/>
        </w:rPr>
        <w:t xml:space="preserve"> Los catálogos, lotes, existencias, ventas, mermas, alertas, pronósticos, órdenes de reabastecimiento y transferencias se leen y escriben en PostgreSQL. El archivo </w:t>
      </w:r>
      <w:r>
        <w:rPr>
          <w:rFonts w:ascii="Consolas" w:hAnsi="Consolas"/>
          <w:color w:val="1A237E"/>
          <w:sz w:val="18"/>
        </w:rPr>
        <w:t>app/data/mock_data.py</w:t>
      </w:r>
      <w:r>
        <w:rPr>
          <w:color w:val="212121"/>
          <w:sz w:val="21"/>
        </w:rPr>
        <w:t xml:space="preserve"> fue eliminado del repositorio.</w:t>
      </w:r>
    </w:p>
    <w:p>
      <w:pPr>
        <w:pStyle w:val="ListNumber"/>
        <w:numPr>
          <w:ilvl w:val="0"/>
          <w:numId w:val="11"/>
        </w:numPr>
        <w:spacing w:after="63"/>
        <w:jc w:val="left"/>
      </w:pPr>
      <w:r>
        <w:rPr>
          <w:b/>
          <w:color w:val="212121"/>
          <w:sz w:val="21"/>
        </w:rPr>
        <w:t>La autenticación es real.</w:t>
      </w:r>
      <w:r>
        <w:rPr>
          <w:color w:val="212121"/>
          <w:sz w:val="21"/>
        </w:rPr>
        <w:t xml:space="preserve"> El login valida la contraseña </w:t>
      </w:r>
      <w:r>
        <w:rPr>
          <w:b/>
          <w:color w:val="212121"/>
          <w:sz w:val="21"/>
        </w:rPr>
        <w:t>dentro de PostgreSQL</w:t>
      </w:r>
      <w:r>
        <w:rPr>
          <w:color w:val="212121"/>
          <w:sz w:val="21"/>
        </w:rPr>
        <w:t xml:space="preserve"> con </w:t>
      </w:r>
      <w:r>
        <w:rPr>
          <w:rFonts w:ascii="Consolas" w:hAnsi="Consolas"/>
          <w:color w:val="1A237E"/>
          <w:sz w:val="18"/>
        </w:rPr>
        <w:t>crypt()</w:t>
      </w:r>
      <w:r>
        <w:rPr>
          <w:color w:val="212121"/>
          <w:sz w:val="21"/>
        </w:rPr>
        <w:t xml:space="preserve">, emite cookie de sesión y token JWT, resuelve permisos desde </w:t>
      </w:r>
      <w:r>
        <w:rPr>
          <w:rFonts w:ascii="Consolas" w:hAnsi="Consolas"/>
          <w:color w:val="1A237E"/>
          <w:sz w:val="18"/>
        </w:rPr>
        <w:t>operacion.rol</w:t>
      </w:r>
      <w:r>
        <w:rPr>
          <w:color w:val="212121"/>
          <w:sz w:val="21"/>
        </w:rPr>
        <w:t xml:space="preserve"> y deja registro en la bitácora. La raíz </w:t>
      </w:r>
      <w:r>
        <w:rPr>
          <w:rFonts w:ascii="Consolas" w:hAnsi="Consolas"/>
          <w:color w:val="1A237E"/>
          <w:sz w:val="18"/>
        </w:rPr>
        <w:t>/</w:t>
      </w:r>
      <w:r>
        <w:rPr>
          <w:color w:val="212121"/>
          <w:sz w:val="21"/>
        </w:rPr>
        <w:t xml:space="preserve"> es una landing pública que no redirige al login.</w:t>
      </w:r>
    </w:p>
    <w:p>
      <w:pPr>
        <w:pStyle w:val="ListNumber"/>
        <w:numPr>
          <w:ilvl w:val="0"/>
          <w:numId w:val="11"/>
        </w:numPr>
        <w:spacing w:after="63"/>
        <w:jc w:val="left"/>
      </w:pPr>
      <w:r>
        <w:rPr>
          <w:b/>
          <w:color w:val="212121"/>
          <w:sz w:val="21"/>
        </w:rPr>
        <w:t>La operación es transaccional.</w:t>
      </w:r>
      <w:r>
        <w:rPr>
          <w:color w:val="212121"/>
          <w:sz w:val="21"/>
        </w:rPr>
        <w:t xml:space="preserve"> La venta consume lotes con </w:t>
      </w:r>
      <w:r>
        <w:rPr>
          <w:rFonts w:ascii="Consolas" w:hAnsi="Consolas"/>
          <w:color w:val="1A237E"/>
          <w:sz w:val="18"/>
        </w:rPr>
        <w:t>SELECT … FOR UPDATE</w:t>
      </w:r>
      <w:r>
        <w:rPr>
          <w:color w:val="212121"/>
          <w:sz w:val="21"/>
        </w:rPr>
        <w:t>, descuenta existencias y escribe el kardex en una sola transacción. Una merma mayor a la existencia se rechaza sin escribir nada.</w:t>
      </w:r>
    </w:p>
    <w:p>
      <w:pPr>
        <w:pStyle w:val="ListNumber"/>
        <w:numPr>
          <w:ilvl w:val="0"/>
          <w:numId w:val="11"/>
        </w:numPr>
        <w:spacing w:after="63"/>
        <w:jc w:val="left"/>
      </w:pPr>
      <w:r>
        <w:rPr>
          <w:b/>
          <w:color w:val="212121"/>
          <w:sz w:val="21"/>
        </w:rPr>
        <w:t>La analítica se mide, no se afirma.</w:t>
      </w:r>
      <w:r>
        <w:rPr>
          <w:color w:val="212121"/>
          <w:sz w:val="21"/>
        </w:rPr>
        <w:t xml:space="preserve"> El pronóstico se ejecutó sobre 60 series producto-tienda con un error </w:t>
      </w:r>
      <w:r>
        <w:rPr>
          <w:b/>
          <w:color w:val="212121"/>
          <w:sz w:val="21"/>
        </w:rPr>
        <w:t>MAE de 6.3049, RMSE de 8.9633 y WMAPE de 11.4650 %</w:t>
      </w:r>
      <w:r>
        <w:rPr>
          <w:color w:val="212121"/>
          <w:sz w:val="21"/>
        </w:rPr>
        <w:t xml:space="preserve">, y el error queda persistido en </w:t>
      </w:r>
      <w:r>
        <w:rPr>
          <w:rFonts w:ascii="Consolas" w:hAnsi="Consolas"/>
          <w:color w:val="1A237E"/>
          <w:sz w:val="18"/>
        </w:rPr>
        <w:t>analitica.forecast_result</w:t>
      </w:r>
      <w:r>
        <w:rPr>
          <w:color w:val="212121"/>
          <w:sz w:val="21"/>
        </w:rPr>
        <w:t>.</w:t>
      </w:r>
    </w:p>
    <w:p>
      <w:pPr>
        <w:pStyle w:val="ListNumber"/>
        <w:numPr>
          <w:ilvl w:val="0"/>
          <w:numId w:val="11"/>
        </w:numPr>
        <w:spacing w:after="63"/>
        <w:jc w:val="left"/>
      </w:pPr>
      <w:r>
        <w:rPr>
          <w:b/>
          <w:color w:val="212121"/>
          <w:sz w:val="21"/>
        </w:rPr>
        <w:t>La persistencia se demuestra.</w:t>
      </w:r>
      <w:r>
        <w:rPr>
          <w:color w:val="212121"/>
          <w:sz w:val="21"/>
        </w:rPr>
        <w:t xml:space="preserve"> El escenario extremo a extremo recorre </w:t>
      </w:r>
      <w:r>
        <w:rPr>
          <w:b/>
          <w:color w:val="212121"/>
          <w:sz w:val="21"/>
        </w:rPr>
        <w:t>20 pasos y 61 comprobaciones</w:t>
      </w:r>
      <w:r>
        <w:rPr>
          <w:color w:val="212121"/>
          <w:sz w:val="21"/>
        </w:rPr>
        <w:t xml:space="preserve"> a través de la capa HTTP real y, en un proceso nuevo, la verificación confirma que toda la información sigue existiendo con la aplicación reiniciada. Sumando las tres herramientas de verificación, se ejecutaron </w:t>
      </w:r>
      <w:r>
        <w:rPr>
          <w:b/>
          <w:color w:val="212121"/>
          <w:sz w:val="21"/>
        </w:rPr>
        <w:t>139 comprobaciones sin un solo fallo</w:t>
      </w:r>
      <w:r>
        <w:rPr>
          <w:color w:val="212121"/>
          <w:sz w:val="21"/>
        </w:rPr>
        <w:t>.</w:t>
      </w:r>
    </w:p>
    <w:p>
      <w:pPr>
        <w:spacing w:after="147"/>
        <w:jc w:val="both"/>
      </w:pPr>
      <w:r>
        <w:rPr>
          <w:color w:val="212121"/>
          <w:sz w:val="21"/>
        </w:rPr>
        <w:t xml:space="preserve">Como resultado colateral del trabajo se encontró y corrigió un </w:t>
      </w:r>
      <w:r>
        <w:rPr>
          <w:b/>
          <w:color w:val="212121"/>
          <w:sz w:val="21"/>
        </w:rPr>
        <w:t>defecto de fondo</w:t>
      </w:r>
      <w:r>
        <w:rPr>
          <w:color w:val="212121"/>
          <w:sz w:val="21"/>
        </w:rPr>
        <w:t xml:space="preserve"> que hacía que ninguna acción de la aplicación quedara registrada en la bitácora de auditoría: SQLAlchemy 2.x revierte la transacción al cerrar un bloque </w:t>
      </w:r>
      <w:r>
        <w:rPr>
          <w:rFonts w:ascii="Consolas" w:hAnsi="Consolas"/>
          <w:color w:val="1A237E"/>
          <w:sz w:val="18"/>
        </w:rPr>
        <w:t>connect()</w:t>
      </w:r>
      <w:r>
        <w:rPr>
          <w:color w:val="212121"/>
          <w:sz w:val="21"/>
        </w:rPr>
        <w:t>, de modo que las escrituras lanzadas por esa vía se perdían en silencio. El detalle está en la sección 15.2.</w:t>
      </w:r>
    </w:p>
    <w:p>
      <w:bookmarkStart w:id="1" w:name="sec-2"/>
      <w:pPr>
        <w:pStyle w:val="Heading2"/>
        <w:spacing w:before="513" w:after="189"/>
        <w:jc w:val="left"/>
        <w:pBdr>
          <w:bottom w:val="single" w:sz="6" w:space="3" w:color="E0E0E0"/>
        </w:pBdr>
      </w:pPr>
      <w:bookmarkEnd w:id="1"/>
      <w:r>
        <w:rPr>
          <w:rFonts w:ascii="Segoe UI" w:hAnsi="Segoe UI"/>
          <w:b/>
          <w:color w:val="1565C0"/>
          <w:sz w:val="27"/>
        </w:rPr>
        <w:t>2. Introducción y objetivos</w:t>
      </w:r>
    </w:p>
    <w:p>
      <w:pPr>
        <w:spacing w:after="147"/>
        <w:jc w:val="both"/>
      </w:pPr>
      <w:r>
        <w:rPr>
          <w:color w:val="212121"/>
          <w:sz w:val="21"/>
        </w:rPr>
        <w:t>Este apartado explica por qué el problema importa, qué se propuso el equipo y qué objetivos concretos persigue el avance.</w:t>
      </w:r>
    </w:p>
    <w:p>
      <w:pPr>
        <w:pStyle w:val="Heading3"/>
        <w:spacing w:before="220" w:after="154"/>
        <w:jc w:val="left"/>
      </w:pPr>
      <w:r>
        <w:rPr>
          <w:rFonts w:ascii="Segoe UI" w:hAnsi="Segoe UI"/>
          <w:b/>
          <w:color w:val="1A237E"/>
          <w:sz w:val="22"/>
        </w:rPr>
        <w:t>2.1 Contexto</w:t>
      </w:r>
    </w:p>
    <w:p>
      <w:pPr>
        <w:spacing w:after="147"/>
        <w:jc w:val="both"/>
      </w:pPr>
      <w:r>
        <w:rPr>
          <w:color w:val="212121"/>
          <w:sz w:val="21"/>
        </w:rPr>
        <w:t>El desperdicio en retail de perecederos ocurre sobre todo por dos causas evitables: no consumir primero lo que caduca antes, y no dimensionar las compras a la demanda real. Ambas son problemas de información: si el sistema no sabe cuánto queda de cada lote, cuándo vence y cuánto se vende, no puede decidir.</w:t>
      </w:r>
    </w:p>
    <w:p>
      <w:pPr>
        <w:spacing w:after="147"/>
        <w:jc w:val="both"/>
      </w:pPr>
      <w:r>
        <w:rPr>
          <w:color w:val="212121"/>
          <w:sz w:val="21"/>
        </w:rPr>
        <w:t xml:space="preserve">FreshTrack ataca esas dos causas con un principio de diseño: </w:t>
      </w:r>
      <w:r>
        <w:rPr>
          <w:b/>
          <w:color w:val="212121"/>
          <w:sz w:val="21"/>
        </w:rPr>
        <w:t>la fecha de caducidad y la vida útil residual son atributos calculados por la base de datos, no valores precargados</w:t>
      </w:r>
      <w:r>
        <w:rPr>
          <w:color w:val="212121"/>
          <w:sz w:val="21"/>
        </w:rPr>
        <w:t>. Todo lo demás — clasificación de riesgo, cola FEFO, alertas, pronóstico y reabastecimiento — se deriva de ahí.</w:t>
      </w:r>
    </w:p>
    <w:p>
      <w:pPr>
        <w:pStyle w:val="Heading3"/>
        <w:spacing w:before="220" w:after="154"/>
        <w:jc w:val="left"/>
      </w:pPr>
      <w:r>
        <w:rPr>
          <w:rFonts w:ascii="Segoe UI" w:hAnsi="Segoe UI"/>
          <w:b/>
          <w:color w:val="1A237E"/>
          <w:sz w:val="22"/>
        </w:rPr>
        <w:t>2.2 Objetivo general</w:t>
      </w:r>
    </w:p>
    <w:p>
      <w:pPr>
        <w:spacing w:after="147"/>
        <w:jc w:val="both"/>
      </w:pPr>
      <w:r>
        <w:rPr>
          <w:color w:val="212121"/>
          <w:sz w:val="21"/>
        </w:rPr>
        <w:t>Construir una aplicación web cuyo flujo principal opere íntegramente contra PostgreSQL, con autenticación real, operación transaccional, analítica medible y auditoría automática, de modo que la información sobreviva al reinicio del proceso.</w:t>
      </w:r>
    </w:p>
    <w:p>
      <w:pPr>
        <w:pStyle w:val="Heading3"/>
        <w:spacing w:before="220" w:after="154"/>
        <w:jc w:val="left"/>
      </w:pPr>
      <w:r>
        <w:rPr>
          <w:rFonts w:ascii="Segoe UI" w:hAnsi="Segoe UI"/>
          <w:b/>
          <w:color w:val="1A237E"/>
          <w:sz w:val="22"/>
        </w:rPr>
        <w:t>2.3 Objetivos específicos</w:t>
      </w:r>
    </w:p>
    <w:p>
      <w:pPr>
        <w:pStyle w:val="ListNumber"/>
        <w:numPr>
          <w:ilvl w:val="0"/>
          <w:numId w:val="12"/>
        </w:numPr>
        <w:spacing w:after="63"/>
        <w:jc w:val="left"/>
      </w:pPr>
      <w:r>
        <w:rPr>
          <w:color w:val="212121"/>
          <w:sz w:val="21"/>
        </w:rPr>
        <w:t>Sustituir toda fuente de datos simulada por consultas a PostgreSQL.</w:t>
      </w:r>
    </w:p>
    <w:p>
      <w:pPr>
        <w:pStyle w:val="ListNumber"/>
        <w:numPr>
          <w:ilvl w:val="0"/>
          <w:numId w:val="12"/>
        </w:numPr>
        <w:spacing w:after="63"/>
        <w:jc w:val="left"/>
      </w:pPr>
      <w:r>
        <w:rPr>
          <w:color w:val="212121"/>
          <w:sz w:val="21"/>
        </w:rPr>
        <w:t>Implementar autenticación con hash de contraseña, sesión, JWT, roles y permisos por pantalla.</w:t>
      </w:r>
    </w:p>
    <w:p>
      <w:pPr>
        <w:pStyle w:val="ListNumber"/>
        <w:numPr>
          <w:ilvl w:val="0"/>
          <w:numId w:val="12"/>
        </w:numPr>
        <w:spacing w:after="63"/>
        <w:jc w:val="left"/>
      </w:pPr>
      <w:r>
        <w:rPr>
          <w:color w:val="212121"/>
          <w:sz w:val="21"/>
        </w:rPr>
        <w:t>Implementar los CRUD reales de productos, proveedores y tiendas/CEDIS, con activación y desactivación.</w:t>
      </w:r>
    </w:p>
    <w:p>
      <w:pPr>
        <w:pStyle w:val="ListNumber"/>
        <w:numPr>
          <w:ilvl w:val="0"/>
          <w:numId w:val="12"/>
        </w:numPr>
        <w:spacing w:after="63"/>
        <w:jc w:val="left"/>
      </w:pPr>
      <w:r>
        <w:rPr>
          <w:color w:val="212121"/>
          <w:sz w:val="21"/>
        </w:rPr>
        <w:t>Calcular automáticamente la vida útil residual y clasificar el riesgo por lote con umbrales configurables por tipo de producto.</w:t>
      </w:r>
    </w:p>
    <w:p>
      <w:pPr>
        <w:pStyle w:val="ListNumber"/>
        <w:numPr>
          <w:ilvl w:val="0"/>
          <w:numId w:val="12"/>
        </w:numPr>
        <w:spacing w:after="63"/>
        <w:jc w:val="left"/>
      </w:pPr>
      <w:r>
        <w:rPr>
          <w:color w:val="212121"/>
          <w:sz w:val="21"/>
        </w:rPr>
        <w:t>Ejecutar el consumo de inventario en orden FEFO dentro de una transacción.</w:t>
      </w:r>
    </w:p>
    <w:p>
      <w:pPr>
        <w:pStyle w:val="ListNumber"/>
        <w:numPr>
          <w:ilvl w:val="0"/>
          <w:numId w:val="12"/>
        </w:numPr>
        <w:spacing w:after="63"/>
        <w:jc w:val="left"/>
      </w:pPr>
      <w:r>
        <w:rPr>
          <w:color w:val="212121"/>
          <w:sz w:val="21"/>
        </w:rPr>
        <w:t>Registrar mermas con causa, validación, descuento de existencia y auditoría.</w:t>
      </w:r>
    </w:p>
    <w:p>
      <w:pPr>
        <w:pStyle w:val="ListNumber"/>
        <w:numPr>
          <w:ilvl w:val="0"/>
          <w:numId w:val="12"/>
        </w:numPr>
        <w:spacing w:after="63"/>
        <w:jc w:val="left"/>
      </w:pPr>
      <w:r>
        <w:rPr>
          <w:color w:val="212121"/>
          <w:sz w:val="21"/>
        </w:rPr>
        <w:t xml:space="preserve">Pronosticar demanda por tienda y por producto sin LSTM, </w:t>
      </w:r>
      <w:r>
        <w:rPr>
          <w:b/>
          <w:color w:val="212121"/>
          <w:sz w:val="21"/>
        </w:rPr>
        <w:t>midiendo el error</w:t>
      </w:r>
      <w:r>
        <w:rPr>
          <w:color w:val="212121"/>
          <w:sz w:val="21"/>
        </w:rPr>
        <w:t>.</w:t>
      </w:r>
    </w:p>
    <w:p>
      <w:pPr>
        <w:pStyle w:val="ListNumber"/>
        <w:numPr>
          <w:ilvl w:val="0"/>
          <w:numId w:val="12"/>
        </w:numPr>
        <w:spacing w:after="63"/>
        <w:jc w:val="left"/>
      </w:pPr>
      <w:r>
        <w:rPr>
          <w:color w:val="212121"/>
          <w:sz w:val="21"/>
        </w:rPr>
        <w:t>Calcular el reabastecimiento considerando inventario físico, en riesgo y útil proyectado, más tiempo de entrega y compra mínima.</w:t>
      </w:r>
    </w:p>
    <w:p>
      <w:pPr>
        <w:pStyle w:val="ListNumber"/>
        <w:numPr>
          <w:ilvl w:val="0"/>
          <w:numId w:val="12"/>
        </w:numPr>
        <w:spacing w:after="63"/>
        <w:jc w:val="left"/>
      </w:pPr>
      <w:r>
        <w:rPr>
          <w:color w:val="212121"/>
          <w:sz w:val="21"/>
        </w:rPr>
        <w:t>Someter reabastecimiento, transferencias y descuentos a aprobación humana.</w:t>
      </w:r>
    </w:p>
    <w:p>
      <w:pPr>
        <w:pStyle w:val="ListNumber"/>
        <w:numPr>
          <w:ilvl w:val="0"/>
          <w:numId w:val="12"/>
        </w:numPr>
        <w:spacing w:after="63"/>
        <w:jc w:val="left"/>
      </w:pPr>
      <w:r>
        <w:rPr>
          <w:color w:val="212121"/>
          <w:sz w:val="21"/>
        </w:rPr>
        <w:t>Generar alertas a partir de reglas sobre los datos y mantener una bitácora de auditoría poblada por disparadores.</w:t>
      </w:r>
    </w:p>
    <w:p>
      <w:pPr>
        <w:pStyle w:val="Heading3"/>
        <w:spacing w:before="220" w:after="154"/>
        <w:jc w:val="left"/>
      </w:pPr>
      <w:r>
        <w:rPr>
          <w:rFonts w:ascii="Segoe UI" w:hAnsi="Segoe UI"/>
          <w:b/>
          <w:color w:val="1A237E"/>
          <w:sz w:val="22"/>
        </w:rPr>
        <w:t>2.4 Audiencia</w:t>
      </w:r>
    </w:p>
    <w:p>
      <w:pPr>
        <w:spacing w:after="147"/>
        <w:jc w:val="both"/>
      </w:pPr>
      <w:r>
        <w:rPr>
          <w:color w:val="212121"/>
          <w:sz w:val="21"/>
        </w:rPr>
        <w:t>El documento está dirigido al profesor del curso y sirve simultáneamente como manual de operación para el equipo: cada afirmación incluye el objeto de base de datos o el comando que permite reproducirla.</w:t>
      </w:r>
    </w:p>
    <w:p>
      <w:bookmarkStart w:id="2" w:name="sec-3"/>
      <w:pPr>
        <w:pStyle w:val="Heading2"/>
        <w:spacing w:before="513" w:after="189"/>
        <w:jc w:val="left"/>
        <w:pBdr>
          <w:bottom w:val="single" w:sz="6" w:space="3" w:color="E0E0E0"/>
        </w:pBdr>
      </w:pPr>
      <w:bookmarkEnd w:id="2"/>
      <w:r>
        <w:rPr>
          <w:rFonts w:ascii="Segoe UI" w:hAnsi="Segoe UI"/>
          <w:b/>
          <w:color w:val="1565C0"/>
          <w:sz w:val="27"/>
        </w:rPr>
        <w:t>3. Alcance del Avance 2 y criterios de aceptación</w:t>
      </w:r>
    </w:p>
    <w:p>
      <w:pPr>
        <w:spacing w:after="147"/>
        <w:jc w:val="both"/>
      </w:pPr>
      <w:r>
        <w:rPr>
          <w:color w:val="212121"/>
          <w:sz w:val="21"/>
        </w:rPr>
        <w:t>Antes de describir la solución conviene fijar qué entra y qué no en este avance, y contra qué criterios se evaluó el resultado.</w:t>
      </w:r>
    </w:p>
    <w:p>
      <w:pPr>
        <w:pStyle w:val="Heading3"/>
        <w:spacing w:before="220" w:after="154"/>
        <w:jc w:val="left"/>
      </w:pPr>
      <w:r>
        <w:rPr>
          <w:rFonts w:ascii="Segoe UI" w:hAnsi="Segoe UI"/>
          <w:b/>
          <w:color w:val="1A237E"/>
          <w:sz w:val="22"/>
        </w:rPr>
        <w:t>3.1 Alcance</w:t>
      </w:r>
    </w:p>
    <w:p>
      <w:pPr>
        <w:spacing w:after="147"/>
        <w:jc w:val="both"/>
      </w:pPr>
      <w:r>
        <w:rPr>
          <w:color w:val="212121"/>
          <w:sz w:val="21"/>
        </w:rPr>
        <w:t>El Avance 2 comprende la aplicación completa: capa web, capa de dominio, capa de acceso a datos, esquema de base de datos, carga inicial, motor analítico y las herramientas de demostración y verificación.</w:t>
      </w:r>
    </w:p>
    <w:p>
      <w:pPr>
        <w:spacing w:after="147"/>
        <w:jc w:val="both"/>
      </w:pPr>
      <w:r>
        <w:rPr>
          <w:color w:val="212121"/>
          <w:sz w:val="21"/>
        </w:rPr>
        <w:t>Queda fuera del alcance de este avance el despliegue en infraestructura de producción, la integración con sistemas de punto de venta reales y el entrenamiento de modelos de aprendizaje profundo, que se sustituyen deliberadamente por métodos estadísticos simples y medibles.</w:t>
      </w:r>
    </w:p>
    <w:p>
      <w:pPr>
        <w:pStyle w:val="Heading3"/>
        <w:spacing w:before="220" w:after="154"/>
        <w:jc w:val="left"/>
      </w:pPr>
      <w:r>
        <w:rPr>
          <w:rFonts w:ascii="Segoe UI" w:hAnsi="Segoe UI"/>
          <w:b/>
          <w:color w:val="1A237E"/>
          <w:sz w:val="22"/>
        </w:rPr>
        <w:t>3.2 Criterios de aceptación y estado</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w:t>
            </w:r>
          </w:p>
        </w:tc>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Criterio exigido</w:t>
            </w:r>
          </w:p>
        </w:tc>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Estado</w:t>
            </w:r>
          </w:p>
        </w:tc>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Evidencia</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Todo el flujo principal opera con datos de PostgreSQL</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app/data/mock_data.py</w:t>
            </w:r>
            <w:r>
              <w:rPr>
                <w:color w:val="212121"/>
                <w:sz w:val="18"/>
              </w:rPr>
              <w:t xml:space="preserve"> eliminado; 22 tablas y 7 vistas en uso</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Login contra PostgreSQL con hash, sesión, JWT y roles</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app/security.py</w:t>
            </w:r>
            <w:r>
              <w:rPr>
                <w:color w:val="212121"/>
                <w:sz w:val="18"/>
              </w:rPr>
              <w:t xml:space="preserve"> , </w:t>
            </w:r>
            <w:r>
              <w:rPr>
                <w:rFonts w:ascii="Consolas" w:hAnsi="Consolas"/>
                <w:color w:val="212121"/>
                <w:sz w:val="18"/>
              </w:rPr>
              <w:t>operacion.sesion_usuario</w:t>
            </w:r>
            <w:r>
              <w:rPr>
                <w:color w:val="212121"/>
                <w:sz w:val="18"/>
              </w:rPr>
              <w:t xml:space="preserve"> , </w:t>
            </w:r>
            <w:r>
              <w:rPr>
                <w:rFonts w:ascii="Consolas" w:hAnsi="Consolas"/>
                <w:color w:val="212121"/>
                <w:sz w:val="18"/>
              </w:rPr>
              <w:t>auditoria.bitacora_eventos</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3</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 xml:space="preserve">Landing público en </w:t>
            </w:r>
            <w:r>
              <w:rPr>
                <w:rFonts w:ascii="Consolas" w:hAnsi="Consolas"/>
                <w:color w:val="212121"/>
                <w:sz w:val="18"/>
              </w:rPr>
              <w:t>/</w:t>
            </w:r>
            <w:r>
              <w:rPr>
                <w:color w:val="212121"/>
                <w:sz w:val="18"/>
              </w:rPr>
              <w:t xml:space="preserve"> sin redirección al login</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scripts/smoke_rutas.py</w:t>
            </w:r>
            <w:r>
              <w:rPr>
                <w:color w:val="212121"/>
                <w:sz w:val="18"/>
              </w:rPr>
              <w:t xml:space="preserve"> valida HTTP 200 y ausencia de campo </w:t>
            </w:r>
            <w:r>
              <w:rPr>
                <w:rFonts w:ascii="Consolas" w:hAnsi="Consolas"/>
                <w:color w:val="212121"/>
                <w:sz w:val="18"/>
              </w:rPr>
              <w:t>password</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4</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CRUD reales de productos, proveedores y tiendas/CEDIS</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app/repos/catalogo.py</w:t>
            </w:r>
            <w:r>
              <w:rPr>
                <w:color w:val="212121"/>
                <w:sz w:val="18"/>
              </w:rPr>
              <w:t xml:space="preserve"> ; pasos 02–04 y 05 del guion de demostración</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5</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Inventario consultable producto → tienda → lote → caducidad</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operacion.v_inventario_lote</w:t>
            </w:r>
            <w:r>
              <w:rPr>
                <w:color w:val="212121"/>
                <w:sz w:val="18"/>
              </w:rPr>
              <w:t xml:space="preserve"> , pantalla </w:t>
            </w:r>
            <w:r>
              <w:rPr>
                <w:rFonts w:ascii="Consolas" w:hAnsi="Consolas"/>
                <w:color w:val="212121"/>
                <w:sz w:val="18"/>
              </w:rPr>
              <w:t>/inventario</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6</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Vida útil residual calculada por el sistema</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operacion.fn_vida_util_pct()</w:t>
            </w:r>
            <w:r>
              <w:rPr>
                <w:color w:val="212121"/>
                <w:sz w:val="18"/>
              </w:rPr>
              <w:t xml:space="preserve"> y </w:t>
            </w:r>
            <w:r>
              <w:rPr>
                <w:rFonts w:ascii="Consolas" w:hAnsi="Consolas"/>
                <w:color w:val="212121"/>
                <w:sz w:val="18"/>
              </w:rPr>
              <w:t>v_inventario_lote.dias_restantes</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7</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Clasificación de riesgo con umbrales configurables</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operacion.regla_riesgo</w:t>
            </w:r>
            <w:r>
              <w:rPr>
                <w:color w:val="212121"/>
                <w:sz w:val="18"/>
              </w:rPr>
              <w:t xml:space="preserve"> con 7 reglas por categoría y por defecto</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8</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Inventario real por lote y FEFO transaccional</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operacion.existencia</w:t>
            </w:r>
            <w:r>
              <w:rPr>
                <w:color w:val="212121"/>
                <w:sz w:val="18"/>
              </w:rPr>
              <w:t xml:space="preserve"> , </w:t>
            </w:r>
            <w:r>
              <w:rPr>
                <w:rFonts w:ascii="Consolas" w:hAnsi="Consolas"/>
                <w:color w:val="212121"/>
                <w:sz w:val="18"/>
              </w:rPr>
              <w:t>app/domain/ventas.py</w:t>
            </w:r>
            <w:r>
              <w:rPr>
                <w:color w:val="212121"/>
                <w:sz w:val="18"/>
              </w:rPr>
              <w:t xml:space="preserve"> con </w:t>
            </w:r>
            <w:r>
              <w:rPr>
                <w:rFonts w:ascii="Consolas" w:hAnsi="Consolas"/>
                <w:color w:val="212121"/>
                <w:sz w:val="18"/>
              </w:rPr>
              <w:t>FOR UPDATE</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9</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Registro de merma con causa, descuento y auditoría</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operacion.merma</w:t>
            </w:r>
            <w:r>
              <w:rPr>
                <w:color w:val="212121"/>
                <w:sz w:val="18"/>
              </w:rPr>
              <w:t xml:space="preserve"> , 7 causas en </w:t>
            </w:r>
            <w:r>
              <w:rPr>
                <w:rFonts w:ascii="Consolas" w:hAnsi="Consolas"/>
                <w:color w:val="212121"/>
                <w:sz w:val="18"/>
              </w:rPr>
              <w:t>CHECK</w:t>
            </w:r>
            <w:r>
              <w:rPr>
                <w:color w:val="212121"/>
                <w:sz w:val="18"/>
              </w:rPr>
              <w:t xml:space="preserve"> , </w:t>
            </w:r>
            <w:r>
              <w:rPr>
                <w:rFonts w:ascii="Consolas" w:hAnsi="Consolas"/>
                <w:color w:val="212121"/>
                <w:sz w:val="18"/>
              </w:rPr>
              <w:t>REGISTER_SHRINKAGE</w:t>
            </w:r>
            <w:r>
              <w:rPr>
                <w:color w:val="212121"/>
                <w:sz w:val="18"/>
              </w:rPr>
              <w:t xml:space="preserve"> en bitácora</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10</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Pronóstico contra PostgreSQL con error medido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analitica.forecast_run</w:t>
            </w:r>
            <w:r>
              <w:rPr>
                <w:color w:val="212121"/>
                <w:sz w:val="18"/>
              </w:rPr>
              <w:t xml:space="preserve"> / </w:t>
            </w:r>
            <w:r>
              <w:rPr>
                <w:rFonts w:ascii="Consolas" w:hAnsi="Consolas"/>
                <w:color w:val="212121"/>
                <w:sz w:val="18"/>
              </w:rPr>
              <w:t>forecast_result</w:t>
            </w:r>
            <w:r>
              <w:rPr>
                <w:color w:val="212121"/>
                <w:sz w:val="18"/>
              </w:rPr>
              <w:t xml:space="preserve"> ; MAE 6.3049</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11</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Pronóstico por tienda y por producto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60 series producto-tienda en la última corrida</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12</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Reabastecimiento con stock de seguridad, útil proyectado, lead time y MOQ</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app/domain/reabastecimiento.py</w:t>
            </w:r>
            <w:r>
              <w:rPr>
                <w:color w:val="212121"/>
                <w:sz w:val="18"/>
              </w:rPr>
              <w:t xml:space="preserve"> , </w:t>
            </w:r>
            <w:r>
              <w:rPr>
                <w:rFonts w:ascii="Consolas" w:hAnsi="Consolas"/>
                <w:color w:val="212121"/>
                <w:sz w:val="18"/>
              </w:rPr>
              <w:t>analitica.orden_reabastecimiento</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13</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Transferencias con 4 validaciones</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analitica.transferencia.validaciones</w:t>
            </w:r>
            <w:r>
              <w:rPr>
                <w:color w:val="212121"/>
                <w:sz w:val="18"/>
              </w:rPr>
              <w:t xml:space="preserve"> (jsonb)</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14</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Aprobación humana de reabastecimiento, transferencias y descuentos</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APPROVE_</w:t>
            </w:r>
            <w:r>
              <w:rPr>
                <w:color w:val="212121"/>
                <w:sz w:val="18"/>
              </w:rPr>
              <w:t xml:space="preserve"> / </w:t>
            </w:r>
            <w:r>
              <w:rPr>
                <w:rFonts w:ascii="Consolas" w:hAnsi="Consolas"/>
                <w:color w:val="212121"/>
                <w:sz w:val="18"/>
              </w:rPr>
              <w:t>REJECT_</w:t>
            </w:r>
            <w:r>
              <w:rPr>
                <w:color w:val="212121"/>
                <w:sz w:val="18"/>
              </w:rPr>
              <w:t xml:space="preserve"> en bitácora</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15</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7 tipos de alerta generados por reglas</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app/domain/alertas.py</w:t>
            </w:r>
            <w:r>
              <w:rPr>
                <w:color w:val="212121"/>
                <w:sz w:val="18"/>
              </w:rPr>
              <w:t xml:space="preserve"> ; los 7 verificados en el paso 17 del guion</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16</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Auditoría real por disparadores y pantalla de bitácora</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41 disparadores; 49 acciones distintas registradas</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17</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Trazabilidad completa del lote</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analitica.v_trazabilidad_lote</w:t>
            </w:r>
            <w:r>
              <w:rPr>
                <w:color w:val="212121"/>
                <w:sz w:val="18"/>
              </w:rPr>
              <w:t xml:space="preserve"> , paso 19 del guion</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18</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Demostración con reinicio de Flask</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scripts/demo_avance2.py --verificar</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19</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Reporte técnico consolidado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Este documento</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20</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Cinco diagramas de arquitectura</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Cumplido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docs/diagramas/</w:t>
            </w:r>
            <w:r>
              <w:rPr>
                <w:color w:val="212121"/>
                <w:sz w:val="18"/>
              </w:rPr>
              <w:t xml:space="preserve"> , generados por </w:t>
            </w:r>
            <w:r>
              <w:rPr>
                <w:rFonts w:ascii="Consolas" w:hAnsi="Consolas"/>
                <w:color w:val="212121"/>
                <w:sz w:val="18"/>
              </w:rPr>
              <w:t>scripts/generar_diagramas.py</w:t>
            </w:r>
          </w:p>
        </w:tc>
      </w:tr>
    </w:tbl>
    <w:p/>
    <w:p>
      <w:bookmarkStart w:id="3" w:name="sec-4"/>
      <w:pPr>
        <w:pStyle w:val="Heading2"/>
        <w:spacing w:before="513" w:after="189"/>
        <w:jc w:val="left"/>
        <w:pBdr>
          <w:bottom w:val="single" w:sz="6" w:space="3" w:color="E0E0E0"/>
        </w:pBdr>
      </w:pPr>
      <w:bookmarkEnd w:id="3"/>
      <w:r>
        <w:rPr>
          <w:rFonts w:ascii="Segoe UI" w:hAnsi="Segoe UI"/>
          <w:b/>
          <w:color w:val="1565C0"/>
          <w:sz w:val="27"/>
        </w:rPr>
        <w:t>4. Arquitectura de la solución</w:t>
      </w:r>
    </w:p>
    <w:p>
      <w:pPr>
        <w:spacing w:after="147"/>
        <w:jc w:val="both"/>
      </w:pPr>
      <w:r>
        <w:rPr>
          <w:color w:val="212121"/>
          <w:sz w:val="21"/>
        </w:rPr>
        <w:t xml:space="preserve">La aplicación sigue el patrón </w:t>
      </w:r>
      <w:r>
        <w:rPr>
          <w:b/>
          <w:color w:val="212121"/>
          <w:sz w:val="21"/>
        </w:rPr>
        <w:t>factoría de aplicación + blueprints</w:t>
      </w:r>
      <w:r>
        <w:rPr>
          <w:color w:val="212121"/>
          <w:sz w:val="21"/>
        </w:rPr>
        <w:t xml:space="preserve"> de Flask, con una separación estricta en cuatro capas: presentación, dominio, acceso a datos y persistencia. Ninguna plantilla ejecuta SQL y ningún modelo de dominio conoce el motor HTTP.</w:t>
      </w:r>
    </w:p>
    <w:p>
      <w:pPr>
        <w:pStyle w:val="Heading3"/>
        <w:spacing w:before="220" w:after="154"/>
        <w:jc w:val="left"/>
      </w:pPr>
      <w:r>
        <w:rPr>
          <w:rFonts w:ascii="Segoe UI" w:hAnsi="Segoe UI"/>
          <w:b/>
          <w:color w:val="1A237E"/>
          <w:sz w:val="22"/>
        </w:rPr>
        <w:t>4.1 Vista de componentes</w:t>
      </w:r>
    </w:p>
    <w:p>
      <w:pPr>
        <w:jc w:val="center"/>
      </w:pPr>
      <w:r>
        <w:drawing>
          <wp:inline xmlns:a="http://schemas.openxmlformats.org/drawingml/2006/main" xmlns:pic="http://schemas.openxmlformats.org/drawingml/2006/picture">
            <wp:extent cx="9745578" cy="785421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9745578" cy="7854214"/>
                    </a:xfrm>
                    <a:prstGeom prst="rect"/>
                  </pic:spPr>
                </pic:pic>
              </a:graphicData>
            </a:graphic>
          </wp:inline>
        </w:drawing>
      </w:r>
    </w:p>
    <w:p>
      <w:pPr>
        <w:spacing w:before="64"/>
        <w:jc w:val="center"/>
      </w:pPr>
      <w:r>
        <w:rPr>
          <w:color w:val="616161"/>
          <w:sz w:val="16"/>
        </w:rPr>
        <w:t>Diagrama de componentes de FreshTrack</w:t>
      </w:r>
    </w:p>
    <w:p>
      <w:pPr>
        <w:spacing w:after="147"/>
        <w:jc w:val="both"/>
      </w:pPr>
      <w:r>
        <w:rPr>
          <w:color w:val="212121"/>
          <w:sz w:val="21"/>
        </w:rPr>
        <w:t>La capa de presentación expone la interfaz por blueprints (</w:t>
      </w:r>
      <w:r>
        <w:rPr>
          <w:rFonts w:ascii="Consolas" w:hAnsi="Consolas"/>
          <w:color w:val="1A237E"/>
          <w:sz w:val="18"/>
        </w:rPr>
        <w:t>publico</w:t>
      </w:r>
      <w:r>
        <w:rPr>
          <w:color w:val="212121"/>
          <w:sz w:val="21"/>
        </w:rPr>
        <w:t xml:space="preserve">, </w:t>
      </w:r>
      <w:r>
        <w:rPr>
          <w:rFonts w:ascii="Consolas" w:hAnsi="Consolas"/>
          <w:color w:val="1A237E"/>
          <w:sz w:val="18"/>
        </w:rPr>
        <w:t>auth</w:t>
      </w:r>
      <w:r>
        <w:rPr>
          <w:color w:val="212121"/>
          <w:sz w:val="21"/>
        </w:rPr>
        <w:t xml:space="preserve">, </w:t>
      </w:r>
      <w:r>
        <w:rPr>
          <w:rFonts w:ascii="Consolas" w:hAnsi="Consolas"/>
          <w:color w:val="1A237E"/>
          <w:sz w:val="18"/>
        </w:rPr>
        <w:t>catalogo</w:t>
      </w:r>
      <w:r>
        <w:rPr>
          <w:color w:val="212121"/>
          <w:sz w:val="21"/>
        </w:rPr>
        <w:t xml:space="preserve">, </w:t>
      </w:r>
      <w:r>
        <w:rPr>
          <w:rFonts w:ascii="Consolas" w:hAnsi="Consolas"/>
          <w:color w:val="1A237E"/>
          <w:sz w:val="18"/>
        </w:rPr>
        <w:t>operacion</w:t>
      </w:r>
      <w:r>
        <w:rPr>
          <w:color w:val="212121"/>
          <w:sz w:val="21"/>
        </w:rPr>
        <w:t xml:space="preserve">, </w:t>
      </w:r>
      <w:r>
        <w:rPr>
          <w:rFonts w:ascii="Consolas" w:hAnsi="Consolas"/>
          <w:color w:val="1A237E"/>
          <w:sz w:val="18"/>
        </w:rPr>
        <w:t>analitica</w:t>
      </w:r>
      <w:r>
        <w:rPr>
          <w:color w:val="212121"/>
          <w:sz w:val="21"/>
        </w:rPr>
        <w:t xml:space="preserve">, </w:t>
      </w:r>
      <w:r>
        <w:rPr>
          <w:rFonts w:ascii="Consolas" w:hAnsi="Consolas"/>
          <w:color w:val="1A237E"/>
          <w:sz w:val="18"/>
        </w:rPr>
        <w:t>panel</w:t>
      </w:r>
      <w:r>
        <w:rPr>
          <w:color w:val="212121"/>
          <w:sz w:val="21"/>
        </w:rPr>
        <w:t xml:space="preserve">, </w:t>
      </w:r>
      <w:r>
        <w:rPr>
          <w:rFonts w:ascii="Consolas" w:hAnsi="Consolas"/>
          <w:color w:val="1A237E"/>
          <w:sz w:val="18"/>
        </w:rPr>
        <w:t>api</w:t>
      </w:r>
      <w:r>
        <w:rPr>
          <w:color w:val="212121"/>
          <w:sz w:val="21"/>
        </w:rPr>
        <w:t>) y renderiza con Jinja2 apoyándose en un archivo de macros compartido.</w:t>
      </w:r>
    </w:p>
    <w:p>
      <w:pPr>
        <w:spacing w:after="147"/>
        <w:jc w:val="both"/>
      </w:pPr>
      <w:r>
        <w:rPr>
          <w:color w:val="212121"/>
          <w:sz w:val="21"/>
        </w:rPr>
        <w:t>La capa de dominio contiene las reglas de negocio puras —ventas, inventario, mermas, pronóstico, reabastecimiento, transferencias, descuentos, alertas y KPIs— y no importa nada de Flask. La capa de acceso a datos concentra el motor SQLAlchemy, el repositorio de catálogos y el módulo de auditoría. La persistencia es PostgreSQL 17 con tres esquemas.</w:t>
      </w:r>
    </w:p>
    <w:p>
      <w:pPr>
        <w:spacing w:after="147"/>
        <w:jc w:val="both"/>
      </w:pPr>
      <w:r>
        <w:rPr>
          <w:color w:val="212121"/>
          <w:sz w:val="21"/>
        </w:rPr>
        <w:t>La regla de dependencia es unidireccional: presentación → dominio → acceso a datos → persistencia. Esto permite que las herramientas de línea de comandos (carga inicial, ETL, demostración) reutilicen el mismo dominio sin levantar el servidor web.</w:t>
      </w:r>
    </w:p>
    <w:p>
      <w:pPr>
        <w:pStyle w:val="Heading3"/>
        <w:spacing w:before="220" w:after="154"/>
        <w:jc w:val="left"/>
      </w:pPr>
      <w:r>
        <w:rPr>
          <w:rFonts w:ascii="Segoe UI" w:hAnsi="Segoe UI"/>
          <w:b/>
          <w:color w:val="1A237E"/>
          <w:sz w:val="22"/>
        </w:rPr>
        <w:t>4.2 Vista de red y despliegue</w:t>
      </w:r>
    </w:p>
    <w:p>
      <w:pPr>
        <w:jc w:val="center"/>
      </w:pPr>
      <w:r>
        <w:drawing>
          <wp:inline xmlns:a="http://schemas.openxmlformats.org/drawingml/2006/main" xmlns:pic="http://schemas.openxmlformats.org/drawingml/2006/picture">
            <wp:extent cx="9745578" cy="623717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9745578" cy="6237170"/>
                    </a:xfrm>
                    <a:prstGeom prst="rect"/>
                  </pic:spPr>
                </pic:pic>
              </a:graphicData>
            </a:graphic>
          </wp:inline>
        </w:drawing>
      </w:r>
    </w:p>
    <w:p>
      <w:pPr>
        <w:spacing w:before="64"/>
        <w:jc w:val="center"/>
      </w:pPr>
      <w:r>
        <w:rPr>
          <w:color w:val="616161"/>
          <w:sz w:val="16"/>
        </w:rPr>
        <w:t>Diagrama de red y despliegue</w:t>
      </w:r>
    </w:p>
    <w:p>
      <w:pPr>
        <w:spacing w:after="147"/>
        <w:jc w:val="both"/>
      </w:pPr>
      <w:r>
        <w:rPr>
          <w:color w:val="212121"/>
          <w:sz w:val="21"/>
        </w:rPr>
        <w:t xml:space="preserve">En el entorno de desarrollo la aplicación escucha en </w:t>
      </w:r>
      <w:r>
        <w:rPr>
          <w:rFonts w:ascii="Consolas" w:hAnsi="Consolas"/>
          <w:color w:val="1A237E"/>
          <w:sz w:val="18"/>
        </w:rPr>
        <w:t>127.0.0.1:5000</w:t>
      </w:r>
      <w:r>
        <w:rPr>
          <w:color w:val="212121"/>
          <w:sz w:val="21"/>
        </w:rPr>
        <w:t xml:space="preserve"> y PostgreSQL en el puerto </w:t>
      </w:r>
      <w:r>
        <w:rPr>
          <w:b/>
          <w:color w:val="212121"/>
          <w:sz w:val="21"/>
        </w:rPr>
        <w:t>5433</w:t>
      </w:r>
      <w:r>
        <w:rPr>
          <w:color w:val="212121"/>
          <w:sz w:val="21"/>
        </w:rPr>
        <w:t xml:space="preserve"> —puerto elegido para no colisionar con una instalación previa en el 5432—. La base se llama </w:t>
      </w:r>
      <w:r>
        <w:rPr>
          <w:rFonts w:ascii="Consolas" w:hAnsi="Consolas"/>
          <w:color w:val="1A237E"/>
          <w:sz w:val="18"/>
        </w:rPr>
        <w:t>retail_perecederos</w:t>
      </w:r>
      <w:r>
        <w:rPr>
          <w:color w:val="212121"/>
          <w:sz w:val="21"/>
        </w:rPr>
        <w:t xml:space="preserve"> y tiene la extensión </w:t>
      </w:r>
      <w:r>
        <w:rPr>
          <w:rFonts w:ascii="Consolas" w:hAnsi="Consolas"/>
          <w:color w:val="1A237E"/>
          <w:sz w:val="18"/>
        </w:rPr>
        <w:t>pgcrypto</w:t>
      </w:r>
      <w:r>
        <w:rPr>
          <w:color w:val="212121"/>
          <w:sz w:val="21"/>
        </w:rPr>
        <w:t xml:space="preserve"> habilitada, que es la que permite verificar contraseñas dentro del motor.</w:t>
      </w:r>
    </w:p>
    <w:p>
      <w:pPr>
        <w:spacing w:after="147"/>
        <w:jc w:val="both"/>
      </w:pPr>
      <w:r>
        <w:rPr>
          <w:color w:val="212121"/>
          <w:sz w:val="21"/>
        </w:rPr>
        <w:t xml:space="preserve">Para el despliegue con contenedores, el archivo </w:t>
      </w:r>
      <w:r>
        <w:rPr>
          <w:rFonts w:ascii="Consolas" w:hAnsi="Consolas"/>
          <w:color w:val="1A237E"/>
          <w:sz w:val="18"/>
        </w:rPr>
        <w:t>docker-compose.yml</w:t>
      </w:r>
      <w:r>
        <w:rPr>
          <w:color w:val="212121"/>
          <w:sz w:val="21"/>
        </w:rPr>
        <w:t xml:space="preserve"> define dos servicios sobre una red bridge interna: </w:t>
      </w:r>
      <w:r>
        <w:rPr>
          <w:rFonts w:ascii="Consolas" w:hAnsi="Consolas"/>
          <w:color w:val="1A237E"/>
          <w:sz w:val="18"/>
        </w:rPr>
        <w:t>freshtrack_app</w:t>
      </w:r>
      <w:r>
        <w:rPr>
          <w:color w:val="212121"/>
          <w:sz w:val="21"/>
        </w:rPr>
        <w:t xml:space="preserve"> y </w:t>
      </w:r>
      <w:r>
        <w:rPr>
          <w:rFonts w:ascii="Consolas" w:hAnsi="Consolas"/>
          <w:color w:val="1A237E"/>
          <w:sz w:val="18"/>
        </w:rPr>
        <w:t>freshtrack_db</w:t>
      </w:r>
      <w:r>
        <w:rPr>
          <w:color w:val="212121"/>
          <w:sz w:val="21"/>
        </w:rPr>
        <w:t xml:space="preserve">. El servicio de base de datos publica un </w:t>
      </w:r>
      <w:r>
        <w:rPr>
          <w:i/>
          <w:color w:val="212121"/>
          <w:sz w:val="21"/>
        </w:rPr>
        <w:t>healthcheck</w:t>
      </w:r>
      <w:r>
        <w:rPr>
          <w:color w:val="212121"/>
          <w:sz w:val="21"/>
        </w:rPr>
        <w:t xml:space="preserve"> con </w:t>
      </w:r>
      <w:r>
        <w:rPr>
          <w:rFonts w:ascii="Consolas" w:hAnsi="Consolas"/>
          <w:color w:val="1A237E"/>
          <w:sz w:val="18"/>
        </w:rPr>
        <w:t>pg_isready</w:t>
      </w:r>
      <w:r>
        <w:rPr>
          <w:color w:val="212121"/>
          <w:sz w:val="21"/>
        </w:rPr>
        <w:t>, del que depende el arranque de la aplicación (</w:t>
      </w:r>
      <w:r>
        <w:rPr>
          <w:rFonts w:ascii="Consolas" w:hAnsi="Consolas"/>
          <w:color w:val="1A237E"/>
          <w:sz w:val="18"/>
        </w:rPr>
        <w:t>depends_on: condition: service_healthy</w:t>
      </w:r>
      <w:r>
        <w:rPr>
          <w:color w:val="212121"/>
          <w:sz w:val="21"/>
        </w:rPr>
        <w:t xml:space="preserve">), de modo que la aplicación no intenta conectarse antes de que el motor acepte conexiones. Los secretos se inyectan por </w:t>
      </w:r>
      <w:r>
        <w:rPr>
          <w:rFonts w:ascii="Consolas" w:hAnsi="Consolas"/>
          <w:color w:val="1A237E"/>
          <w:sz w:val="18"/>
        </w:rPr>
        <w:t>env_file</w:t>
      </w:r>
      <w:r>
        <w:rPr>
          <w:color w:val="212121"/>
          <w:sz w:val="21"/>
        </w:rPr>
        <w:t xml:space="preserve">; </w:t>
      </w:r>
      <w:r>
        <w:rPr>
          <w:b/>
          <w:color w:val="212121"/>
          <w:sz w:val="21"/>
        </w:rPr>
        <w:t>no hay credenciales dentro de la imagen</w:t>
      </w:r>
      <w:r>
        <w:rPr>
          <w:color w:val="212121"/>
          <w:sz w:val="21"/>
        </w:rPr>
        <w:t>.</w:t>
      </w:r>
    </w:p>
    <w:p>
      <w:pPr>
        <w:pStyle w:val="Heading3"/>
        <w:spacing w:before="220" w:after="154"/>
        <w:jc w:val="left"/>
      </w:pPr>
      <w:r>
        <w:rPr>
          <w:rFonts w:ascii="Segoe UI" w:hAnsi="Segoe UI"/>
          <w:b/>
          <w:color w:val="1A237E"/>
          <w:sz w:val="22"/>
        </w:rPr>
        <w:t>4.3 Comunicación entre aplicaciones</w:t>
      </w:r>
    </w:p>
    <w:p>
      <w:pPr>
        <w:jc w:val="center"/>
      </w:pPr>
      <w:r>
        <w:drawing>
          <wp:inline xmlns:a="http://schemas.openxmlformats.org/drawingml/2006/main" xmlns:pic="http://schemas.openxmlformats.org/drawingml/2006/picture">
            <wp:extent cx="9745578" cy="69494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745578" cy="6949440"/>
                    </a:xfrm>
                    <a:prstGeom prst="rect"/>
                  </pic:spPr>
                </pic:pic>
              </a:graphicData>
            </a:graphic>
          </wp:inline>
        </w:drawing>
      </w:r>
    </w:p>
    <w:p>
      <w:pPr>
        <w:spacing w:before="64"/>
        <w:jc w:val="center"/>
      </w:pPr>
      <w:r>
        <w:rPr>
          <w:color w:val="616161"/>
          <w:sz w:val="16"/>
        </w:rPr>
        <w:t>Diagrama de comunicación entre aplicaciones</w:t>
      </w:r>
    </w:p>
    <w:p>
      <w:pPr>
        <w:spacing w:after="147"/>
        <w:jc w:val="both"/>
      </w:pPr>
      <w:r>
        <w:rPr>
          <w:color w:val="212121"/>
          <w:sz w:val="21"/>
        </w:rPr>
        <w:t>El sistema expone dos vías de acceso sobre los mismos datos:</w:t>
      </w:r>
    </w:p>
    <w:p>
      <w:pPr>
        <w:pStyle w:val="ListBullet"/>
        <w:spacing w:after="63"/>
        <w:jc w:val="left"/>
      </w:pPr>
      <w:r>
        <w:rPr>
          <w:b/>
          <w:color w:val="212121"/>
          <w:sz w:val="21"/>
        </w:rPr>
        <w:t>Flujo web con formularios.</w:t>
      </w:r>
      <w:r>
        <w:rPr>
          <w:color w:val="212121"/>
          <w:sz w:val="21"/>
        </w:rPr>
        <w:t xml:space="preserve"> El navegador hace </w:t>
      </w:r>
      <w:r>
        <w:rPr>
          <w:rFonts w:ascii="Consolas" w:hAnsi="Consolas"/>
          <w:color w:val="1A237E"/>
          <w:sz w:val="18"/>
        </w:rPr>
        <w:t>GET /</w:t>
      </w:r>
      <w:r>
        <w:rPr>
          <w:color w:val="212121"/>
          <w:sz w:val="21"/>
        </w:rPr>
        <w:t xml:space="preserve"> o </w:t>
      </w:r>
      <w:r>
        <w:rPr>
          <w:rFonts w:ascii="Consolas" w:hAnsi="Consolas"/>
          <w:color w:val="1A237E"/>
          <w:sz w:val="18"/>
        </w:rPr>
        <w:t>POST /login</w:t>
      </w:r>
      <w:r>
        <w:rPr>
          <w:color w:val="212121"/>
          <w:sz w:val="21"/>
        </w:rPr>
        <w:t xml:space="preserve">; el servidor consulta PostgreSQL con </w:t>
      </w:r>
      <w:r>
        <w:rPr>
          <w:rFonts w:ascii="Consolas" w:hAnsi="Consolas"/>
          <w:color w:val="1A237E"/>
          <w:sz w:val="18"/>
        </w:rPr>
        <w:t>crypt(:password, u.password_hash) = u.password_hash</w:t>
      </w:r>
      <w:r>
        <w:rPr>
          <w:color w:val="212121"/>
          <w:sz w:val="21"/>
        </w:rPr>
        <w:t xml:space="preserve">, devuelve una fila de </w:t>
      </w:r>
      <w:r>
        <w:rPr>
          <w:rFonts w:ascii="Consolas" w:hAnsi="Consolas"/>
          <w:color w:val="1A237E"/>
          <w:sz w:val="18"/>
        </w:rPr>
        <w:t>operacion.usuario</w:t>
      </w:r>
      <w:r>
        <w:rPr>
          <w:color w:val="212121"/>
          <w:sz w:val="21"/>
        </w:rPr>
        <w:t xml:space="preserve"> unida con </w:t>
      </w:r>
      <w:r>
        <w:rPr>
          <w:rFonts w:ascii="Consolas" w:hAnsi="Consolas"/>
          <w:color w:val="1A237E"/>
          <w:sz w:val="18"/>
        </w:rPr>
        <w:t>operacion.rol</w:t>
      </w:r>
      <w:r>
        <w:rPr>
          <w:color w:val="212121"/>
          <w:sz w:val="21"/>
        </w:rPr>
        <w:t xml:space="preserve">, inserta el identificador del token en </w:t>
      </w:r>
      <w:r>
        <w:rPr>
          <w:rFonts w:ascii="Consolas" w:hAnsi="Consolas"/>
          <w:color w:val="1A237E"/>
          <w:sz w:val="18"/>
        </w:rPr>
        <w:t>operacion.sesion_usuario</w:t>
      </w:r>
      <w:r>
        <w:rPr>
          <w:color w:val="212121"/>
          <w:sz w:val="21"/>
        </w:rPr>
        <w:t xml:space="preserve"> y escribe los eventos de auditoría. Después entrega la cookie de sesión, el JWT y la redirección al panel.</w:t>
      </w:r>
    </w:p>
    <w:p>
      <w:pPr>
        <w:pStyle w:val="ListBullet"/>
        <w:spacing w:after="63"/>
        <w:jc w:val="left"/>
      </w:pPr>
      <w:r>
        <w:rPr>
          <w:b/>
          <w:color w:val="212121"/>
          <w:sz w:val="21"/>
        </w:rPr>
        <w:t>Vía API JSON.</w:t>
      </w:r>
      <w:r>
        <w:rPr>
          <w:color w:val="212121"/>
          <w:sz w:val="21"/>
        </w:rPr>
        <w:t xml:space="preserve"> El cliente solicita un token en </w:t>
      </w:r>
      <w:r>
        <w:rPr>
          <w:rFonts w:ascii="Consolas" w:hAnsi="Consolas"/>
          <w:color w:val="1A237E"/>
          <w:sz w:val="18"/>
        </w:rPr>
        <w:t>POST /api/auth/token</w:t>
      </w:r>
      <w:r>
        <w:rPr>
          <w:color w:val="212121"/>
          <w:sz w:val="21"/>
        </w:rPr>
        <w:t xml:space="preserve"> y luego consume </w:t>
      </w:r>
      <w:r>
        <w:rPr>
          <w:rFonts w:ascii="Consolas" w:hAnsi="Consolas"/>
          <w:color w:val="1A237E"/>
          <w:sz w:val="18"/>
        </w:rPr>
        <w:t>/api/kpis</w:t>
      </w:r>
      <w:r>
        <w:rPr>
          <w:color w:val="212121"/>
          <w:sz w:val="21"/>
        </w:rPr>
        <w:t xml:space="preserve">, </w:t>
      </w:r>
      <w:r>
        <w:rPr>
          <w:rFonts w:ascii="Consolas" w:hAnsi="Consolas"/>
          <w:color w:val="1A237E"/>
          <w:sz w:val="18"/>
        </w:rPr>
        <w:t>/api/inventario</w:t>
      </w:r>
      <w:r>
        <w:rPr>
          <w:color w:val="212121"/>
          <w:sz w:val="21"/>
        </w:rPr>
        <w:t xml:space="preserve">, </w:t>
      </w:r>
      <w:r>
        <w:rPr>
          <w:rFonts w:ascii="Consolas" w:hAnsi="Consolas"/>
          <w:color w:val="1A237E"/>
          <w:sz w:val="18"/>
        </w:rPr>
        <w:t>/api/alertas</w:t>
      </w:r>
      <w:r>
        <w:rPr>
          <w:color w:val="212121"/>
          <w:sz w:val="21"/>
        </w:rPr>
        <w:t xml:space="preserve"> y </w:t>
      </w:r>
      <w:r>
        <w:rPr>
          <w:rFonts w:ascii="Consolas" w:hAnsi="Consolas"/>
          <w:color w:val="1A237E"/>
          <w:sz w:val="18"/>
        </w:rPr>
        <w:t>/api/pronostico</w:t>
      </w:r>
      <w:r>
        <w:rPr>
          <w:color w:val="212121"/>
          <w:sz w:val="21"/>
        </w:rPr>
        <w:t xml:space="preserve"> con el encabezado </w:t>
      </w:r>
      <w:r>
        <w:rPr>
          <w:rFonts w:ascii="Consolas" w:hAnsi="Consolas"/>
          <w:color w:val="1A237E"/>
          <w:sz w:val="18"/>
        </w:rPr>
        <w:t>Authorization: Bearer &lt;JWT&gt;</w:t>
      </w:r>
      <w:r>
        <w:rPr>
          <w:color w:val="212121"/>
          <w:sz w:val="21"/>
        </w:rPr>
        <w:t xml:space="preserve">. La API decodifica el token, verifica que su identificador no esté revocado y devuelve JSON con los </w:t>
      </w:r>
      <w:r>
        <w:rPr>
          <w:rFonts w:ascii="Consolas" w:hAnsi="Consolas"/>
          <w:color w:val="1A237E"/>
          <w:sz w:val="18"/>
        </w:rPr>
        <w:t>Decimal</w:t>
      </w:r>
      <w:r>
        <w:rPr>
          <w:color w:val="212121"/>
          <w:sz w:val="21"/>
        </w:rPr>
        <w:t xml:space="preserve"> convertidos a número.</w:t>
      </w:r>
    </w:p>
    <w:p>
      <w:pPr>
        <w:spacing w:after="147"/>
        <w:jc w:val="both"/>
      </w:pPr>
      <w:r>
        <w:rPr>
          <w:color w:val="212121"/>
          <w:sz w:val="21"/>
        </w:rPr>
        <w:t xml:space="preserve">Los procesos por lote —la carga inicial del esquema, el ETL y el guion de demostración— no abren conexiones privilegiadas: </w:t>
      </w:r>
      <w:r>
        <w:rPr>
          <w:rFonts w:ascii="Consolas" w:hAnsi="Consolas"/>
          <w:b/>
          <w:color w:val="1A237E"/>
          <w:sz w:val="18"/>
        </w:rPr>
        <w:t>scripts/demo_avance2.py</w:t>
      </w:r>
      <w:r>
        <w:rPr>
          <w:b/>
          <w:color w:val="212121"/>
          <w:sz w:val="21"/>
        </w:rPr>
        <w:t xml:space="preserve"> usa el cliente de pruebas de Flask</w:t>
      </w:r>
      <w:r>
        <w:rPr>
          <w:color w:val="212121"/>
          <w:sz w:val="21"/>
        </w:rPr>
        <w:t>, es decir, atraviesa la capa HTTP real, con las mismas validaciones y los mismos permisos que un usuario humano.</w:t>
      </w:r>
    </w:p>
    <w:p>
      <w:pPr>
        <w:pStyle w:val="Heading3"/>
        <w:spacing w:before="220" w:after="154"/>
        <w:jc w:val="left"/>
      </w:pPr>
      <w:r>
        <w:rPr>
          <w:rFonts w:ascii="Segoe UI" w:hAnsi="Segoe UI"/>
          <w:b/>
          <w:color w:val="1A237E"/>
          <w:sz w:val="22"/>
        </w:rPr>
        <w:t>4.4 Autenticación y control de acceso</w:t>
      </w:r>
    </w:p>
    <w:p>
      <w:pPr>
        <w:jc w:val="center"/>
      </w:pPr>
      <w:r>
        <w:drawing>
          <wp:inline xmlns:a="http://schemas.openxmlformats.org/drawingml/2006/main" xmlns:pic="http://schemas.openxmlformats.org/drawingml/2006/picture">
            <wp:extent cx="9745578" cy="723338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745578" cy="7233385"/>
                    </a:xfrm>
                    <a:prstGeom prst="rect"/>
                  </pic:spPr>
                </pic:pic>
              </a:graphicData>
            </a:graphic>
          </wp:inline>
        </w:drawing>
      </w:r>
    </w:p>
    <w:p>
      <w:pPr>
        <w:spacing w:before="64"/>
        <w:jc w:val="center"/>
      </w:pPr>
      <w:r>
        <w:rPr>
          <w:color w:val="616161"/>
          <w:sz w:val="16"/>
        </w:rPr>
        <w:t>Diagrama de autenticación y control de acceso</w:t>
      </w:r>
    </w:p>
    <w:p>
      <w:pPr>
        <w:spacing w:after="147"/>
        <w:jc w:val="both"/>
      </w:pPr>
      <w:r>
        <w:rPr>
          <w:color w:val="212121"/>
          <w:sz w:val="21"/>
        </w:rPr>
        <w:t xml:space="preserve">El flujo de autenticación aplica las validaciones en un orden deliberado: primero que el usuario exista, después que no esté bloqueado, luego que la contraseña coincida y finalmente que </w:t>
      </w:r>
      <w:r>
        <w:rPr>
          <w:rFonts w:ascii="Consolas" w:hAnsi="Consolas"/>
          <w:color w:val="1A237E"/>
          <w:sz w:val="18"/>
        </w:rPr>
        <w:t>estado_activo</w:t>
      </w:r>
      <w:r>
        <w:rPr>
          <w:color w:val="212121"/>
          <w:sz w:val="21"/>
        </w:rPr>
        <w:t xml:space="preserve"> sea verdadero. Si alguna falla, se incrementa </w:t>
      </w:r>
      <w:r>
        <w:rPr>
          <w:rFonts w:ascii="Consolas" w:hAnsi="Consolas"/>
          <w:color w:val="1A237E"/>
          <w:sz w:val="18"/>
        </w:rPr>
        <w:t>intentos_fallidos</w:t>
      </w:r>
      <w:r>
        <w:rPr>
          <w:color w:val="212121"/>
          <w:sz w:val="21"/>
        </w:rPr>
        <w:t xml:space="preserve"> y al llegar al máximo configurado la cuenta se bloquea por 15 minutos, dejando registro como </w:t>
      </w:r>
      <w:r>
        <w:rPr>
          <w:rFonts w:ascii="Consolas" w:hAnsi="Consolas"/>
          <w:color w:val="1A237E"/>
          <w:sz w:val="18"/>
        </w:rPr>
        <w:t>LOGIN_FALLIDO</w:t>
      </w:r>
      <w:r>
        <w:rPr>
          <w:color w:val="212121"/>
          <w:sz w:val="21"/>
        </w:rPr>
        <w:t>.</w:t>
      </w:r>
    </w:p>
    <w:p>
      <w:pPr>
        <w:spacing w:after="147"/>
        <w:jc w:val="both"/>
      </w:pPr>
      <w:r>
        <w:rPr>
          <w:color w:val="212121"/>
          <w:sz w:val="21"/>
        </w:rPr>
        <w:t xml:space="preserve">Cuando las validaciones pasan, el sistema emite </w:t>
      </w:r>
      <w:r>
        <w:rPr>
          <w:b/>
          <w:color w:val="212121"/>
          <w:sz w:val="21"/>
        </w:rPr>
        <w:t>dos credenciales</w:t>
      </w:r>
      <w:r>
        <w:rPr>
          <w:color w:val="212121"/>
          <w:sz w:val="21"/>
        </w:rPr>
        <w:t xml:space="preserve">: una cookie de sesión firmada con </w:t>
      </w:r>
      <w:r>
        <w:rPr>
          <w:rFonts w:ascii="Consolas" w:hAnsi="Consolas"/>
          <w:color w:val="1A237E"/>
          <w:sz w:val="18"/>
        </w:rPr>
        <w:t>SECRET_KEY</w:t>
      </w:r>
      <w:r>
        <w:rPr>
          <w:color w:val="212121"/>
          <w:sz w:val="21"/>
        </w:rPr>
        <w:t xml:space="preserve"> y un token </w:t>
      </w:r>
      <w:r>
        <w:rPr>
          <w:b/>
          <w:color w:val="212121"/>
          <w:sz w:val="21"/>
        </w:rPr>
        <w:t>JWT HS256</w:t>
      </w:r>
      <w:r>
        <w:rPr>
          <w:color w:val="212121"/>
          <w:sz w:val="21"/>
        </w:rPr>
        <w:t xml:space="preserve"> con sujeto, rol, identificador y expiración. El identificador del token se persiste en </w:t>
      </w:r>
      <w:r>
        <w:rPr>
          <w:rFonts w:ascii="Consolas" w:hAnsi="Consolas"/>
          <w:color w:val="1A237E"/>
          <w:sz w:val="18"/>
        </w:rPr>
        <w:t>operacion.sesion_usuario</w:t>
      </w:r>
      <w:r>
        <w:rPr>
          <w:color w:val="212121"/>
          <w:sz w:val="21"/>
        </w:rPr>
        <w:t xml:space="preserve">, lo que permite revocarlo antes de que expire. Los permisos se resuelven en ese momento leyendo </w:t>
      </w:r>
      <w:r>
        <w:rPr>
          <w:rFonts w:ascii="Consolas" w:hAnsi="Consolas"/>
          <w:color w:val="1A237E"/>
          <w:sz w:val="18"/>
        </w:rPr>
        <w:t>operacion.rol.clave</w:t>
      </w:r>
      <w:r>
        <w:rPr>
          <w:color w:val="212121"/>
          <w:sz w:val="21"/>
        </w:rPr>
        <w:t xml:space="preserve"> y traduciéndolo a la lista de pantallas permitidas, con la que se construye el menú y se decide la pantalla inicial.</w:t>
      </w:r>
    </w:p>
    <w:p>
      <w:pPr>
        <w:spacing w:after="147"/>
        <w:jc w:val="both"/>
      </w:pPr>
      <w:r>
        <w:rPr>
          <w:color w:val="212121"/>
          <w:sz w:val="21"/>
        </w:rPr>
        <w:t>Cada petición posterior queda protegida por decoradores encadenables:</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Decorador</w:t>
            </w:r>
          </w:p>
        </w:tc>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Efecto</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login_required</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 xml:space="preserve">Exige sesión; sin ella redirige a </w:t>
            </w:r>
            <w:r>
              <w:rPr>
                <w:rFonts w:ascii="Consolas" w:hAnsi="Consolas"/>
                <w:color w:val="212121"/>
                <w:sz w:val="18"/>
              </w:rPr>
              <w:t>/login?next=…</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requiere_vista("ventas")</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Exige que el rol tenga esa pantalla habilitada</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requiere_rol("admin")</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Exige uno de los roles indicados</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token_requerido</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 xml:space="preserve">Exige </w:t>
            </w:r>
            <w:r>
              <w:rPr>
                <w:rFonts w:ascii="Consolas" w:hAnsi="Consolas"/>
                <w:color w:val="212121"/>
                <w:sz w:val="18"/>
              </w:rPr>
              <w:t>Authorization: Bearer &lt;JWT&gt;</w:t>
            </w:r>
            <w:r>
              <w:rPr>
                <w:color w:val="212121"/>
                <w:sz w:val="18"/>
              </w:rPr>
              <w:t xml:space="preserve"> y valida firma, expiración y revocación</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rol_en_token("admin")</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Restringe las escrituras de la API por rol</w:t>
            </w:r>
          </w:p>
        </w:tc>
      </w:tr>
    </w:tbl>
    <w:p>
      <w:pPr>
        <w:spacing w:after="147"/>
        <w:jc w:val="both"/>
      </w:pPr>
      <w:r>
        <w:rPr>
          <w:color w:val="212121"/>
          <w:sz w:val="21"/>
        </w:rPr>
        <w:t xml:space="preserve">El cierre de sesión ejecuta </w:t>
      </w:r>
      <w:r>
        <w:rPr>
          <w:rFonts w:ascii="Consolas" w:hAnsi="Consolas"/>
          <w:color w:val="1A237E"/>
          <w:sz w:val="18"/>
        </w:rPr>
        <w:t>UPDATE operacion.sesion_usuario SET revocado = true</w:t>
      </w:r>
      <w:r>
        <w:rPr>
          <w:color w:val="212121"/>
          <w:sz w:val="21"/>
        </w:rPr>
        <w:t xml:space="preserve"> y registra </w:t>
      </w:r>
      <w:r>
        <w:rPr>
          <w:rFonts w:ascii="Consolas" w:hAnsi="Consolas"/>
          <w:color w:val="1A237E"/>
          <w:sz w:val="18"/>
        </w:rPr>
        <w:t>LOGOUT</w:t>
      </w:r>
      <w:r>
        <w:rPr>
          <w:color w:val="212121"/>
          <w:sz w:val="21"/>
        </w:rPr>
        <w:t>; a partir de ese momento el token deja de ser válido aunque no haya expirado.</w:t>
      </w:r>
    </w:p>
    <w:p>
      <w:pPr>
        <w:pStyle w:val="Heading3"/>
        <w:spacing w:before="220" w:after="154"/>
        <w:jc w:val="left"/>
      </w:pPr>
      <w:r>
        <w:rPr>
          <w:rFonts w:ascii="Segoe UI" w:hAnsi="Segoe UI"/>
          <w:b/>
          <w:color w:val="1A237E"/>
          <w:sz w:val="22"/>
        </w:rPr>
        <w:t>4.5 Almacenamiento de datos</w:t>
      </w:r>
    </w:p>
    <w:p>
      <w:pPr>
        <w:jc w:val="center"/>
      </w:pPr>
      <w:r>
        <w:drawing>
          <wp:inline xmlns:a="http://schemas.openxmlformats.org/drawingml/2006/main" xmlns:pic="http://schemas.openxmlformats.org/drawingml/2006/picture">
            <wp:extent cx="9745578" cy="785421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9745578" cy="7854214"/>
                    </a:xfrm>
                    <a:prstGeom prst="rect"/>
                  </pic:spPr>
                </pic:pic>
              </a:graphicData>
            </a:graphic>
          </wp:inline>
        </w:drawing>
      </w:r>
    </w:p>
    <w:p>
      <w:pPr>
        <w:spacing w:before="64"/>
        <w:jc w:val="center"/>
      </w:pPr>
      <w:r>
        <w:rPr>
          <w:color w:val="616161"/>
          <w:sz w:val="16"/>
        </w:rPr>
        <w:t>Diagrama de almacenamiento de datos</w:t>
      </w:r>
    </w:p>
    <w:p>
      <w:pPr>
        <w:spacing w:after="147"/>
        <w:jc w:val="both"/>
      </w:pPr>
      <w:r>
        <w:rPr>
          <w:color w:val="212121"/>
          <w:sz w:val="21"/>
        </w:rPr>
        <w:t>La base se organiza en tres esquemas con responsabilidades disjuntas:</w:t>
      </w:r>
    </w:p>
    <w:p>
      <w:pPr>
        <w:pStyle w:val="ListBullet"/>
        <w:spacing w:after="63"/>
        <w:jc w:val="left"/>
      </w:pPr>
      <w:r>
        <w:rPr>
          <w:rFonts w:ascii="Consolas" w:hAnsi="Consolas"/>
          <w:b/>
          <w:color w:val="1A237E"/>
          <w:sz w:val="18"/>
        </w:rPr>
        <w:t>operacion</w:t>
      </w:r>
      <w:r>
        <w:rPr>
          <w:color w:val="212121"/>
          <w:sz w:val="21"/>
        </w:rPr>
        <w:t xml:space="preserve"> — el núcleo transaccional: catálogos, lotes, existencias, kardex, ventas, mermas y sesiones.</w:t>
      </w:r>
    </w:p>
    <w:p>
      <w:pPr>
        <w:pStyle w:val="ListBullet"/>
        <w:spacing w:after="63"/>
        <w:jc w:val="left"/>
      </w:pPr>
      <w:r>
        <w:rPr>
          <w:rFonts w:ascii="Consolas" w:hAnsi="Consolas"/>
          <w:b/>
          <w:color w:val="1A237E"/>
          <w:sz w:val="18"/>
        </w:rPr>
        <w:t>analitica</w:t>
      </w:r>
      <w:r>
        <w:rPr>
          <w:color w:val="212121"/>
          <w:sz w:val="21"/>
        </w:rPr>
        <w:t xml:space="preserve"> — los resultados derivados: pronósticos, órdenes de reabastecimiento, transferencias, descuentos, alertas, desperdicio evitado y configuración.</w:t>
      </w:r>
    </w:p>
    <w:p>
      <w:pPr>
        <w:pStyle w:val="ListBullet"/>
        <w:spacing w:after="63"/>
        <w:jc w:val="left"/>
      </w:pPr>
      <w:r>
        <w:rPr>
          <w:rFonts w:ascii="Consolas" w:hAnsi="Consolas"/>
          <w:b/>
          <w:color w:val="1A237E"/>
          <w:sz w:val="18"/>
        </w:rPr>
        <w:t>auditoria</w:t>
      </w:r>
      <w:r>
        <w:rPr>
          <w:color w:val="212121"/>
          <w:sz w:val="21"/>
        </w:rPr>
        <w:t xml:space="preserve"> — la bitácora de eventos, inmutable por diseño.</w:t>
      </w:r>
    </w:p>
    <w:p>
      <w:pPr>
        <w:spacing w:after="147"/>
        <w:jc w:val="both"/>
      </w:pPr>
      <w:r>
        <w:rPr>
          <w:color w:val="212121"/>
          <w:sz w:val="21"/>
        </w:rPr>
        <w:t>Separar la analítica de la operación evita que un recálculo de pronóstico bloquee una venta, y permite reconstruir los resultados analíticos en cualquier momento a partir de los datos operativos, que son la única fuente de verdad.</w:t>
      </w:r>
    </w:p>
    <w:p>
      <w:bookmarkStart w:id="4" w:name="sec-5"/>
      <w:pPr>
        <w:pStyle w:val="Heading2"/>
        <w:spacing w:before="513" w:after="189"/>
        <w:jc w:val="left"/>
        <w:pBdr>
          <w:bottom w:val="single" w:sz="6" w:space="3" w:color="E0E0E0"/>
        </w:pBdr>
      </w:pPr>
      <w:bookmarkEnd w:id="4"/>
      <w:r>
        <w:rPr>
          <w:rFonts w:ascii="Segoe UI" w:hAnsi="Segoe UI"/>
          <w:b/>
          <w:color w:val="1565C0"/>
          <w:sz w:val="27"/>
        </w:rPr>
        <w:t>5. Modelo de datos en PostgreSQL</w:t>
      </w:r>
    </w:p>
    <w:p>
      <w:pPr>
        <w:spacing w:after="147"/>
        <w:jc w:val="both"/>
      </w:pPr>
      <w:r>
        <w:rPr>
          <w:color w:val="212121"/>
          <w:sz w:val="21"/>
        </w:rPr>
        <w:t>El modelo de datos es la pieza sobre la que se apoyan todas las demás, así que conviene empezar por su tamaño y su organización.</w:t>
      </w:r>
    </w:p>
    <w:p>
      <w:pPr>
        <w:pStyle w:val="Heading3"/>
        <w:spacing w:before="220" w:after="154"/>
        <w:jc w:val="left"/>
      </w:pPr>
      <w:r>
        <w:rPr>
          <w:rFonts w:ascii="Segoe UI" w:hAnsi="Segoe UI"/>
          <w:b/>
          <w:color w:val="1A237E"/>
          <w:sz w:val="22"/>
        </w:rPr>
        <w:t>5.1 Dimensiones del esquema</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Objeto</w:t>
            </w:r>
          </w:p>
        </w:tc>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Cantidad</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Tablas base</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22</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Vistas</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7</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Esquemas</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3</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Restricciones declaradas</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290</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Índices</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72</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Disparadores</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41</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Funciones y procedimientos</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9</w:t>
            </w:r>
          </w:p>
        </w:tc>
      </w:tr>
    </w:tbl>
    <w:p>
      <w:pPr>
        <w:spacing w:after="147"/>
        <w:jc w:val="both"/>
      </w:pPr>
      <w:r>
        <w:rPr>
          <w:color w:val="212121"/>
          <w:sz w:val="21"/>
        </w:rPr>
        <w:t xml:space="preserve">El desglose por esquema es: </w:t>
      </w:r>
      <w:r>
        <w:rPr>
          <w:rFonts w:ascii="Consolas" w:hAnsi="Consolas"/>
          <w:color w:val="1A237E"/>
          <w:sz w:val="18"/>
        </w:rPr>
        <w:t>operacion</w:t>
      </w:r>
      <w:r>
        <w:rPr>
          <w:color w:val="212121"/>
          <w:sz w:val="21"/>
        </w:rPr>
        <w:t xml:space="preserve"> con 13 tablas y 2 vistas, </w:t>
      </w:r>
      <w:r>
        <w:rPr>
          <w:rFonts w:ascii="Consolas" w:hAnsi="Consolas"/>
          <w:color w:val="1A237E"/>
          <w:sz w:val="18"/>
        </w:rPr>
        <w:t>analitica</w:t>
      </w:r>
      <w:r>
        <w:rPr>
          <w:color w:val="212121"/>
          <w:sz w:val="21"/>
        </w:rPr>
        <w:t xml:space="preserve"> con 8 tablas y 4 vistas, y </w:t>
      </w:r>
      <w:r>
        <w:rPr>
          <w:rFonts w:ascii="Consolas" w:hAnsi="Consolas"/>
          <w:color w:val="1A237E"/>
          <w:sz w:val="18"/>
        </w:rPr>
        <w:t>auditoria</w:t>
      </w:r>
      <w:r>
        <w:rPr>
          <w:color w:val="212121"/>
          <w:sz w:val="21"/>
        </w:rPr>
        <w:t xml:space="preserve"> con 1 tabla y 1 vista.</w:t>
      </w:r>
    </w:p>
    <w:p>
      <w:pPr>
        <w:pStyle w:val="Heading3"/>
        <w:spacing w:before="220" w:after="154"/>
        <w:jc w:val="left"/>
      </w:pPr>
      <w:r>
        <w:rPr>
          <w:rFonts w:ascii="Segoe UI" w:hAnsi="Segoe UI"/>
          <w:b/>
          <w:color w:val="1A237E"/>
          <w:sz w:val="22"/>
        </w:rPr>
        <w:t>5.2 Inventario de tablas</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Esquema</w:t>
            </w:r>
          </w:p>
        </w:tc>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Tabla</w:t>
            </w:r>
          </w:p>
        </w:tc>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Contenido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operacion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rol</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Los 7 perfiles del sistema y su clave</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operacion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usuario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Credenciales, hash, estado activo e intentos fallidos</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operacion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sesion_usuario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Identificador de token, expiración y revocación</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operacion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producto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SKU, GTIN, categoría, vida útil estándar y stock de seguridad</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operacion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proveedor</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RFC, razón social, tiempo de entrega y compra mínima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operacion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locacion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Tiendas y CEDIS, con bandera de activo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operacion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lote</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Fechas de producción, recepción y caducidad, costo y estado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operacion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existencia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Inventario disponible por combinación lote × locación</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operacion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movimiento_inventario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Kardex: recepción, venta, merma y transferencia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operacion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venta</w:t>
            </w:r>
            <w:r>
              <w:rPr>
                <w:color w:val="212121"/>
                <w:sz w:val="18"/>
              </w:rPr>
              <w:t xml:space="preserve"> / </w:t>
            </w:r>
            <w:r>
              <w:rPr>
                <w:rFonts w:ascii="Consolas" w:hAnsi="Consolas"/>
                <w:color w:val="212121"/>
                <w:sz w:val="18"/>
              </w:rPr>
              <w:t>venta_detalle</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Venta con una línea por lote consumido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operacion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merma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Causa, cantidad, valor calculado y responsable</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operacion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regla_riesgo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Umbrales de clasificación por SKU, categoría o por defecto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analitica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forecast_run</w:t>
            </w:r>
            <w:r>
              <w:rPr>
                <w:color w:val="212121"/>
                <w:sz w:val="18"/>
              </w:rPr>
              <w:t xml:space="preserve"> / </w:t>
            </w:r>
            <w:r>
              <w:rPr>
                <w:rFonts w:ascii="Consolas" w:hAnsi="Consolas"/>
                <w:color w:val="212121"/>
                <w:sz w:val="18"/>
              </w:rPr>
              <w:t>forecast_result</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Corrida de pronóstico y su error por serie</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analitica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orden_reabastecimiento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Demanda, stock de seguridad, útil y necesidad neta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analitica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transferencia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Origen, destino, cantidad y las cuatro validaciones</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analitica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descuento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Sugerencia, decisión humana y precio resultante</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analitica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alerta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Tipo, severidad, mensaje, detalle y huella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analitica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desperdicio_evitado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Ahorro estimado con su metodología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analitica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configuracion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12 parámetros de negocio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auditoria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bitacora_eventos</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Acción, tabla, registro, usuario, estado anterior y nuevo</w:t>
            </w:r>
          </w:p>
        </w:tc>
      </w:tr>
    </w:tbl>
    <w:p>
      <w:pPr>
        <w:pStyle w:val="Heading3"/>
        <w:spacing w:before="220" w:after="154"/>
        <w:jc w:val="left"/>
      </w:pPr>
      <w:r>
        <w:rPr>
          <w:rFonts w:ascii="Segoe UI" w:hAnsi="Segoe UI"/>
          <w:b/>
          <w:color w:val="1A237E"/>
          <w:sz w:val="22"/>
        </w:rPr>
        <w:t>5.3 Restricciones, índices y disparadores</w:t>
      </w:r>
    </w:p>
    <w:p>
      <w:pPr>
        <w:spacing w:after="147"/>
        <w:jc w:val="both"/>
      </w:pPr>
      <w:r>
        <w:rPr>
          <w:color w:val="212121"/>
          <w:sz w:val="21"/>
        </w:rPr>
        <w:t>La integridad se delega al motor siempre que es posible. Las decisiones relevantes son:</w:t>
      </w:r>
    </w:p>
    <w:p>
      <w:pPr>
        <w:pStyle w:val="ListNumber"/>
        <w:numPr>
          <w:ilvl w:val="0"/>
          <w:numId w:val="13"/>
        </w:numPr>
        <w:spacing w:after="63"/>
        <w:jc w:val="left"/>
      </w:pPr>
      <w:r>
        <w:rPr>
          <w:b/>
          <w:color w:val="212121"/>
          <w:sz w:val="21"/>
        </w:rPr>
        <w:t>Identificadores UUID</w:t>
      </w:r>
      <w:r>
        <w:rPr>
          <w:color w:val="212121"/>
          <w:sz w:val="21"/>
        </w:rPr>
        <w:t xml:space="preserve"> generados con </w:t>
      </w:r>
      <w:r>
        <w:rPr>
          <w:rFonts w:ascii="Consolas" w:hAnsi="Consolas"/>
          <w:color w:val="1A237E"/>
          <w:sz w:val="18"/>
        </w:rPr>
        <w:t>gen_random_uuid()</w:t>
      </w:r>
      <w:r>
        <w:rPr>
          <w:color w:val="212121"/>
          <w:sz w:val="21"/>
        </w:rPr>
        <w:t xml:space="preserve"> en las entidades que se referencian desde varias tablas, lo que permite construir registros completos antes de persistirlos.</w:t>
      </w:r>
    </w:p>
    <w:p>
      <w:pPr>
        <w:pStyle w:val="ListNumber"/>
        <w:numPr>
          <w:ilvl w:val="0"/>
          <w:numId w:val="13"/>
        </w:numPr>
        <w:spacing w:after="63"/>
        <w:jc w:val="left"/>
      </w:pPr>
      <w:r>
        <w:rPr>
          <w:b/>
          <w:color w:val="212121"/>
          <w:sz w:val="21"/>
        </w:rPr>
        <w:t xml:space="preserve">Restricciones </w:t>
      </w:r>
      <w:r>
        <w:rPr>
          <w:rFonts w:ascii="Consolas" w:hAnsi="Consolas"/>
          <w:b/>
          <w:color w:val="1A237E"/>
          <w:sz w:val="18"/>
        </w:rPr>
        <w:t>CHECK</w:t>
      </w:r>
      <w:r>
        <w:rPr>
          <w:color w:val="212121"/>
          <w:sz w:val="21"/>
        </w:rPr>
        <w:t xml:space="preserve"> sobre fechas, cantidades positivas y las siete causas de merma válidas, de modo que un valor imposible no llegue nunca a la tabla.</w:t>
      </w:r>
    </w:p>
    <w:p>
      <w:pPr>
        <w:pStyle w:val="ListNumber"/>
        <w:numPr>
          <w:ilvl w:val="0"/>
          <w:numId w:val="13"/>
        </w:numPr>
        <w:spacing w:after="63"/>
        <w:jc w:val="left"/>
      </w:pPr>
      <w:r>
        <w:rPr>
          <w:b/>
          <w:color w:val="212121"/>
          <w:sz w:val="21"/>
        </w:rPr>
        <w:t xml:space="preserve">Claves foráneas con </w:t>
      </w:r>
      <w:r>
        <w:rPr>
          <w:rFonts w:ascii="Consolas" w:hAnsi="Consolas"/>
          <w:b/>
          <w:color w:val="1A237E"/>
          <w:sz w:val="18"/>
        </w:rPr>
        <w:t>ON DELETE RESTRICT</w:t>
      </w:r>
      <w:r>
        <w:rPr>
          <w:color w:val="212121"/>
          <w:sz w:val="21"/>
        </w:rPr>
        <w:t xml:space="preserve"> donde la integridad importa: no se puede borrar una locación con ventas asociadas, ni un lote con existencias.</w:t>
      </w:r>
    </w:p>
    <w:p>
      <w:pPr>
        <w:pStyle w:val="ListNumber"/>
        <w:numPr>
          <w:ilvl w:val="0"/>
          <w:numId w:val="13"/>
        </w:numPr>
        <w:spacing w:after="63"/>
        <w:jc w:val="left"/>
      </w:pPr>
      <w:r>
        <w:rPr>
          <w:b/>
          <w:color w:val="212121"/>
          <w:sz w:val="21"/>
        </w:rPr>
        <w:t>Índices para las series de pronóstico</w:t>
      </w:r>
      <w:r>
        <w:rPr>
          <w:color w:val="212121"/>
          <w:sz w:val="21"/>
        </w:rPr>
        <w:t xml:space="preserve"> sobre </w:t>
      </w:r>
      <w:r>
        <w:rPr>
          <w:rFonts w:ascii="Consolas" w:hAnsi="Consolas"/>
          <w:color w:val="1A237E"/>
          <w:sz w:val="18"/>
        </w:rPr>
        <w:t>(id_sku, id_locacion, fecha)</w:t>
      </w:r>
      <w:r>
        <w:rPr>
          <w:color w:val="212121"/>
          <w:sz w:val="21"/>
        </w:rPr>
        <w:t xml:space="preserve"> y </w:t>
      </w:r>
      <w:r>
        <w:rPr>
          <w:b/>
          <w:color w:val="212121"/>
          <w:sz w:val="21"/>
        </w:rPr>
        <w:t>para la cola FEFO</w:t>
      </w:r>
      <w:r>
        <w:rPr>
          <w:color w:val="212121"/>
          <w:sz w:val="21"/>
        </w:rPr>
        <w:t xml:space="preserve"> sobre </w:t>
      </w:r>
      <w:r>
        <w:rPr>
          <w:rFonts w:ascii="Consolas" w:hAnsi="Consolas"/>
          <w:color w:val="1A237E"/>
          <w:sz w:val="18"/>
        </w:rPr>
        <w:t>(id_sku, fecha_caducidad)</w:t>
      </w:r>
      <w:r>
        <w:rPr>
          <w:color w:val="212121"/>
          <w:sz w:val="21"/>
        </w:rPr>
        <w:t>.</w:t>
      </w:r>
    </w:p>
    <w:p>
      <w:pPr>
        <w:pStyle w:val="ListNumber"/>
        <w:numPr>
          <w:ilvl w:val="0"/>
          <w:numId w:val="13"/>
        </w:numPr>
        <w:spacing w:after="63"/>
        <w:jc w:val="left"/>
      </w:pPr>
      <w:r>
        <w:rPr>
          <w:b/>
          <w:color w:val="212121"/>
          <w:sz w:val="21"/>
        </w:rPr>
        <w:t>Índices únicos parciales</w:t>
      </w:r>
      <w:r>
        <w:rPr>
          <w:color w:val="212121"/>
          <w:sz w:val="21"/>
        </w:rPr>
        <w:t xml:space="preserve"> sobre </w:t>
      </w:r>
      <w:r>
        <w:rPr>
          <w:rFonts w:ascii="Consolas" w:hAnsi="Consolas"/>
          <w:color w:val="1A237E"/>
          <w:sz w:val="18"/>
        </w:rPr>
        <w:t>regla_riesgo</w:t>
      </w:r>
      <w:r>
        <w:rPr>
          <w:color w:val="212121"/>
          <w:sz w:val="21"/>
        </w:rPr>
        <w:t xml:space="preserve"> que garantizan que exista como máximo una regla por categoría, una por SKU y una por defecto. Sin ellos, volver a ejecutar la carga inicial duplicaba las reglas: el </w:t>
      </w:r>
      <w:r>
        <w:rPr>
          <w:rFonts w:ascii="Consolas" w:hAnsi="Consolas"/>
          <w:color w:val="1A237E"/>
          <w:sz w:val="18"/>
        </w:rPr>
        <w:t>ON CONFLICT DO NOTHING</w:t>
      </w:r>
      <w:r>
        <w:rPr>
          <w:color w:val="212121"/>
          <w:sz w:val="21"/>
        </w:rPr>
        <w:t xml:space="preserve"> no tenía índice contra el que resolver el conflicto.</w:t>
      </w:r>
    </w:p>
    <w:p>
      <w:pPr>
        <w:pStyle w:val="ListNumber"/>
        <w:numPr>
          <w:ilvl w:val="0"/>
          <w:numId w:val="13"/>
        </w:numPr>
        <w:spacing w:after="63"/>
        <w:jc w:val="left"/>
      </w:pPr>
      <w:r>
        <w:rPr>
          <w:b/>
          <w:color w:val="212121"/>
          <w:sz w:val="21"/>
        </w:rPr>
        <w:t>Disparadores de auditoría por fila</w:t>
      </w:r>
      <w:r>
        <w:rPr>
          <w:color w:val="212121"/>
          <w:sz w:val="21"/>
        </w:rPr>
        <w:t xml:space="preserve"> que escriben en la bitácora el estado anterior y el posterior en formato </w:t>
      </w:r>
      <w:r>
        <w:rPr>
          <w:rFonts w:ascii="Consolas" w:hAnsi="Consolas"/>
          <w:color w:val="1A237E"/>
          <w:sz w:val="18"/>
        </w:rPr>
        <w:t>jsonb</w:t>
      </w:r>
      <w:r>
        <w:rPr>
          <w:color w:val="212121"/>
          <w:sz w:val="21"/>
        </w:rPr>
        <w:t>.</w:t>
      </w:r>
    </w:p>
    <w:p>
      <w:pPr>
        <w:pStyle w:val="Heading3"/>
        <w:spacing w:before="220" w:after="154"/>
        <w:jc w:val="left"/>
      </w:pPr>
      <w:r>
        <w:rPr>
          <w:rFonts w:ascii="Segoe UI" w:hAnsi="Segoe UI"/>
          <w:b/>
          <w:color w:val="1A237E"/>
          <w:sz w:val="22"/>
        </w:rPr>
        <w:t>5.4 Vistas de negocio</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Vista</w:t>
            </w:r>
          </w:p>
        </w:tc>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Propósito</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operacion.v_inventario_lote</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Inventario por lote con días restantes, porcentaje de vida útil y clasificación</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operacion.v_lote_riesgo</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Lote con su proveedor, categoría y clasificación de riesgo</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analitica.v_demanda_diaria</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Serie histórica de demanda agregada por día, insumo del pronóstico</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analitica.v_merma_agregada</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Merma agregada por producto, tienda y causa</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analitica.v_alerta_abierta</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Alertas vigentes con su severidad y antigüedad</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analitica.v_trazabilidad_lote</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Recorrido completo del lote: recepción, movimientos, ventas y mermas</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auditoria.v_bitacora</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Bitácora con nombres legibles en lugar de identificadores</w:t>
            </w:r>
          </w:p>
        </w:tc>
      </w:tr>
    </w:tbl>
    <w:p/>
    <w:p>
      <w:bookmarkStart w:id="5" w:name="sec-6"/>
      <w:pPr>
        <w:pStyle w:val="Heading2"/>
        <w:spacing w:before="513" w:after="189"/>
        <w:jc w:val="left"/>
        <w:pBdr>
          <w:bottom w:val="single" w:sz="6" w:space="3" w:color="E0E0E0"/>
        </w:pBdr>
      </w:pPr>
      <w:bookmarkEnd w:id="5"/>
      <w:r>
        <w:rPr>
          <w:rFonts w:ascii="Segoe UI" w:hAnsi="Segoe UI"/>
          <w:b/>
          <w:color w:val="1565C0"/>
          <w:sz w:val="27"/>
        </w:rPr>
        <w:t>6. Seguridad y autenticación</w:t>
      </w:r>
    </w:p>
    <w:p>
      <w:pPr>
        <w:spacing w:after="147"/>
        <w:jc w:val="both"/>
      </w:pPr>
      <w:r>
        <w:rPr>
          <w:color w:val="212121"/>
          <w:sz w:val="21"/>
        </w:rPr>
        <w:t>La seguridad se resolvió en dos frentes: dónde se verifica la contraseña y de dónde salen los permisos de cada usuario.</w:t>
      </w:r>
    </w:p>
    <w:p>
      <w:pPr>
        <w:pStyle w:val="Heading3"/>
        <w:spacing w:before="220" w:after="154"/>
        <w:jc w:val="left"/>
      </w:pPr>
      <w:r>
        <w:rPr>
          <w:rFonts w:ascii="Segoe UI" w:hAnsi="Segoe UI"/>
          <w:b/>
          <w:color w:val="1A237E"/>
          <w:sz w:val="22"/>
        </w:rPr>
        <w:t>6.1 Verificación de contraseñas dentro del motor</w:t>
      </w:r>
    </w:p>
    <w:p>
      <w:pPr>
        <w:spacing w:after="147"/>
        <w:jc w:val="both"/>
      </w:pPr>
      <w:r>
        <w:rPr>
          <w:color w:val="212121"/>
          <w:sz w:val="21"/>
        </w:rPr>
        <w:t xml:space="preserve">La contraseña en claro </w:t>
      </w:r>
      <w:r>
        <w:rPr>
          <w:b/>
          <w:color w:val="212121"/>
          <w:sz w:val="21"/>
        </w:rPr>
        <w:t>nunca se compara en Python</w:t>
      </w:r>
      <w:r>
        <w:rPr>
          <w:color w:val="212121"/>
          <w:sz w:val="21"/>
        </w:rPr>
        <w:t>. La consulta de login delega la comparación a PostgreSQL:</w:t>
      </w:r>
    </w:p>
    <w:p>
      <w:pPr>
        <w:jc w:val="left"/>
      </w:pPr>
      <w:r>
        <w:rPr>
          <w:rFonts w:ascii="Consolas" w:hAnsi="Consolas"/>
          <w:color w:val="212121"/>
          <w:sz w:val="18"/>
        </w:rPr>
        <w:t>crypt(:password, u.password_hash) = u.password_hash</w:t>
      </w:r>
    </w:p>
    <w:p>
      <w:pPr>
        <w:spacing w:after="147"/>
        <w:jc w:val="both"/>
      </w:pPr>
      <w:r>
        <w:rPr>
          <w:color w:val="212121"/>
          <w:sz w:val="21"/>
        </w:rPr>
        <w:t xml:space="preserve">El hash se almacena con </w:t>
      </w:r>
      <w:r>
        <w:rPr>
          <w:rFonts w:ascii="Consolas" w:hAnsi="Consolas"/>
          <w:color w:val="1A237E"/>
          <w:sz w:val="18"/>
        </w:rPr>
        <w:t>crypt()</w:t>
      </w:r>
      <w:r>
        <w:rPr>
          <w:color w:val="212121"/>
          <w:sz w:val="21"/>
        </w:rPr>
        <w:t xml:space="preserve"> y </w:t>
      </w:r>
      <w:r>
        <w:rPr>
          <w:rFonts w:ascii="Consolas" w:hAnsi="Consolas"/>
          <w:color w:val="1A237E"/>
          <w:sz w:val="18"/>
        </w:rPr>
        <w:t>gen_salt('bf')</w:t>
      </w:r>
      <w:r>
        <w:rPr>
          <w:color w:val="212121"/>
          <w:sz w:val="21"/>
        </w:rPr>
        <w:t xml:space="preserve"> de </w:t>
      </w:r>
      <w:r>
        <w:rPr>
          <w:rFonts w:ascii="Consolas" w:hAnsi="Consolas"/>
          <w:color w:val="1A237E"/>
          <w:sz w:val="18"/>
        </w:rPr>
        <w:t>pgcrypto</w:t>
      </w:r>
      <w:r>
        <w:rPr>
          <w:color w:val="212121"/>
          <w:sz w:val="21"/>
        </w:rPr>
        <w:t>. Esta decisión tiene tres consecuencias favorables: el hash no sale del motor, no existe una ruta en la aplicación capaz de comparar contraseñas, y cualquier intento de autenticación queda inevitablemente asociado a una consulta SQL auditable.</w:t>
      </w:r>
    </w:p>
    <w:p>
      <w:pPr>
        <w:pStyle w:val="Heading3"/>
        <w:spacing w:before="220" w:after="154"/>
        <w:jc w:val="left"/>
      </w:pPr>
      <w:r>
        <w:rPr>
          <w:rFonts w:ascii="Segoe UI" w:hAnsi="Segoe UI"/>
          <w:b/>
          <w:color w:val="1A237E"/>
          <w:sz w:val="22"/>
        </w:rPr>
        <w:t>6.2 Credenciales fuera del código</w:t>
      </w:r>
    </w:p>
    <w:p>
      <w:pPr>
        <w:spacing w:after="147"/>
        <w:jc w:val="both"/>
      </w:pPr>
      <w:r>
        <w:rPr>
          <w:color w:val="212121"/>
          <w:sz w:val="21"/>
        </w:rPr>
        <w:t xml:space="preserve">El módulo </w:t>
      </w:r>
      <w:r>
        <w:rPr>
          <w:rFonts w:ascii="Consolas" w:hAnsi="Consolas"/>
          <w:color w:val="1A237E"/>
          <w:sz w:val="18"/>
        </w:rPr>
        <w:t>app/config.py</w:t>
      </w:r>
      <w:r>
        <w:rPr>
          <w:color w:val="212121"/>
          <w:sz w:val="21"/>
        </w:rPr>
        <w:t xml:space="preserve"> declara </w:t>
      </w:r>
      <w:r>
        <w:rPr>
          <w:rFonts w:ascii="Consolas" w:hAnsi="Consolas"/>
          <w:color w:val="1A237E"/>
          <w:sz w:val="18"/>
        </w:rPr>
        <w:t>DATABASE_URL</w:t>
      </w:r>
      <w:r>
        <w:rPr>
          <w:color w:val="212121"/>
          <w:sz w:val="21"/>
        </w:rPr>
        <w:t xml:space="preserve">, </w:t>
      </w:r>
      <w:r>
        <w:rPr>
          <w:rFonts w:ascii="Consolas" w:hAnsi="Consolas"/>
          <w:color w:val="1A237E"/>
          <w:sz w:val="18"/>
        </w:rPr>
        <w:t>SECRET_KEY</w:t>
      </w:r>
      <w:r>
        <w:rPr>
          <w:color w:val="212121"/>
          <w:sz w:val="21"/>
        </w:rPr>
        <w:t xml:space="preserve"> y </w:t>
      </w:r>
      <w:r>
        <w:rPr>
          <w:rFonts w:ascii="Consolas" w:hAnsi="Consolas"/>
          <w:color w:val="1A237E"/>
          <w:sz w:val="18"/>
        </w:rPr>
        <w:t>JWT_SECRET_KEY</w:t>
      </w:r>
      <w:r>
        <w:rPr>
          <w:color w:val="212121"/>
          <w:sz w:val="21"/>
        </w:rPr>
        <w:t xml:space="preserve"> como </w:t>
      </w:r>
      <w:r>
        <w:rPr>
          <w:b/>
          <w:color w:val="212121"/>
          <w:sz w:val="21"/>
        </w:rPr>
        <w:t>variables obligatorias</w:t>
      </w:r>
      <w:r>
        <w:rPr>
          <w:color w:val="212121"/>
          <w:sz w:val="21"/>
        </w:rPr>
        <w:t xml:space="preserve">: si alguna falta, la aplicación falla al arrancar con un mensaje explícito en lugar de caer a un valor por defecto embebido. El archivo </w:t>
      </w:r>
      <w:r>
        <w:rPr>
          <w:rFonts w:ascii="Consolas" w:hAnsi="Consolas"/>
          <w:color w:val="1A237E"/>
          <w:sz w:val="18"/>
        </w:rPr>
        <w:t>env.example</w:t>
      </w:r>
      <w:r>
        <w:rPr>
          <w:color w:val="212121"/>
          <w:sz w:val="21"/>
        </w:rPr>
        <w:t xml:space="preserve"> documenta cada variable e indica generar los secretos con </w:t>
      </w:r>
      <w:r>
        <w:rPr>
          <w:rFonts w:ascii="Consolas" w:hAnsi="Consolas"/>
          <w:color w:val="1A237E"/>
          <w:sz w:val="18"/>
        </w:rPr>
        <w:t>secrets.token_hex(32)</w:t>
      </w:r>
      <w:r>
        <w:rPr>
          <w:color w:val="212121"/>
          <w:sz w:val="21"/>
        </w:rPr>
        <w:t>.</w:t>
      </w:r>
    </w:p>
    <w:p>
      <w:pPr>
        <w:spacing w:after="147"/>
        <w:jc w:val="both"/>
      </w:pPr>
      <w:r>
        <w:rPr>
          <w:color w:val="212121"/>
          <w:sz w:val="21"/>
        </w:rPr>
        <w:t xml:space="preserve">El script </w:t>
      </w:r>
      <w:r>
        <w:rPr>
          <w:rFonts w:ascii="Consolas" w:hAnsi="Consolas"/>
          <w:color w:val="1A237E"/>
          <w:sz w:val="18"/>
        </w:rPr>
        <w:t>scripts/ETL.py</w:t>
      </w:r>
      <w:r>
        <w:rPr>
          <w:color w:val="212121"/>
          <w:sz w:val="21"/>
        </w:rPr>
        <w:t xml:space="preserve"> también fue corregido: antes contenía una cadena de conexión con contraseña embebida como valor por defecto. Ahora exige que </w:t>
      </w:r>
      <w:r>
        <w:rPr>
          <w:rFonts w:ascii="Consolas" w:hAnsi="Consolas"/>
          <w:color w:val="1A237E"/>
          <w:sz w:val="18"/>
        </w:rPr>
        <w:t>ETL_DATABASE_URL</w:t>
      </w:r>
      <w:r>
        <w:rPr>
          <w:color w:val="212121"/>
          <w:sz w:val="21"/>
        </w:rPr>
        <w:t xml:space="preserve"> o </w:t>
      </w:r>
      <w:r>
        <w:rPr>
          <w:rFonts w:ascii="Consolas" w:hAnsi="Consolas"/>
          <w:color w:val="1A237E"/>
          <w:sz w:val="18"/>
        </w:rPr>
        <w:t>DATABASE_URL</w:t>
      </w:r>
      <w:r>
        <w:rPr>
          <w:color w:val="212121"/>
          <w:sz w:val="21"/>
        </w:rPr>
        <w:t xml:space="preserve"> estén definidas y aborta con un error si no lo están.</w:t>
      </w:r>
    </w:p>
    <w:p>
      <w:pPr>
        <w:pStyle w:val="Heading3"/>
        <w:spacing w:before="220" w:after="154"/>
        <w:jc w:val="left"/>
      </w:pPr>
      <w:r>
        <w:rPr>
          <w:rFonts w:ascii="Segoe UI" w:hAnsi="Segoe UI"/>
          <w:b/>
          <w:color w:val="1A237E"/>
          <w:sz w:val="22"/>
        </w:rPr>
        <w:t>6.3 Roles de base de datos</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Rol</w:t>
            </w:r>
          </w:p>
        </w:tc>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Uso</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postgres</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Administración y creación del esquema</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app_backend</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Rol de la aplicación: lectura y escritura sobre los tres esquemas</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app_auditor</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Rol de solo lectura para consulta de bitácora y mermas</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app_etl</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Rol de la carga masiva, con permiso para desactivar disparadores</w:t>
            </w:r>
          </w:p>
        </w:tc>
      </w:tr>
    </w:tbl>
    <w:p>
      <w:pPr>
        <w:spacing w:after="147"/>
        <w:jc w:val="both"/>
      </w:pPr>
      <w:r>
        <w:rPr>
          <w:color w:val="212121"/>
          <w:sz w:val="21"/>
        </w:rPr>
        <w:t>La separación permite que la aplicación web no necesite privilegios de administración, y que la carga masiva —que desactiva los disparadores de auditoría para no generar decenas de miles de eventos de inserción— use un rol distinto del que sirve las peticiones de los usuarios.</w:t>
      </w:r>
    </w:p>
    <w:p>
      <w:pPr>
        <w:pStyle w:val="Heading3"/>
        <w:spacing w:before="220" w:after="154"/>
        <w:jc w:val="left"/>
      </w:pPr>
      <w:r>
        <w:rPr>
          <w:rFonts w:ascii="Segoe UI" w:hAnsi="Segoe UI"/>
          <w:b/>
          <w:color w:val="1A237E"/>
          <w:sz w:val="22"/>
        </w:rPr>
        <w:t>6.4 Matriz de permisos</w:t>
      </w:r>
    </w:p>
    <w:p>
      <w:pPr>
        <w:spacing w:after="147"/>
        <w:jc w:val="both"/>
      </w:pPr>
      <w:r>
        <w:rPr>
          <w:color w:val="212121"/>
          <w:sz w:val="21"/>
        </w:rPr>
        <w:t xml:space="preserve">El sistema define </w:t>
      </w:r>
      <w:r>
        <w:rPr>
          <w:b/>
          <w:color w:val="212121"/>
          <w:sz w:val="21"/>
        </w:rPr>
        <w:t>7 roles</w:t>
      </w:r>
      <w:r>
        <w:rPr>
          <w:color w:val="212121"/>
          <w:sz w:val="21"/>
        </w:rPr>
        <w:t xml:space="preserve"> y </w:t>
      </w:r>
      <w:r>
        <w:rPr>
          <w:b/>
          <w:color w:val="212121"/>
          <w:sz w:val="21"/>
        </w:rPr>
        <w:t>20 pantallas</w:t>
      </w:r>
      <w:r>
        <w:rPr>
          <w:color w:val="212121"/>
          <w:sz w:val="21"/>
        </w:rPr>
        <w:t xml:space="preserve">. La matriz se declara en </w:t>
      </w:r>
      <w:r>
        <w:rPr>
          <w:rFonts w:ascii="Consolas" w:hAnsi="Consolas"/>
          <w:color w:val="1A237E"/>
          <w:sz w:val="18"/>
        </w:rPr>
        <w:t>app/navegacion.py</w:t>
      </w:r>
      <w:r>
        <w:rPr>
          <w:color w:val="212121"/>
          <w:sz w:val="21"/>
        </w:rPr>
        <w:t xml:space="preserve"> y se aplica en cada petición.</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Rol</w:t>
            </w:r>
          </w:p>
        </w:tc>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Alcance</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admin</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Todo el sistema: las 20 pantallas</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buyer</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Catálogos, lotes, inventario, reabastecimiento y trazabilidad</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planner</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Pronóstico, transferencias, descuentos y analítica de sostenibilidad</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store_manager</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 xml:space="preserve">Operación de la tienda y </w:t>
            </w:r>
            <w:r>
              <w:rPr>
                <w:b/>
                <w:color w:val="212121"/>
                <w:sz w:val="18"/>
              </w:rPr>
              <w:t>aprobación</w:t>
            </w:r>
            <w:r>
              <w:rPr>
                <w:color w:val="212121"/>
                <w:sz w:val="18"/>
              </w:rPr>
              <w:t xml:space="preserve"> de reabastecimiento, transferencias y descuentos</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warehouse</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Lotes, inventario, cola FEFO y mermas</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supplier</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Consulta de sus productos y lotes</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auditor</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Bitácora, mermas y desperdicio evitado, en solo lectura</w:t>
            </w:r>
          </w:p>
        </w:tc>
      </w:tr>
    </w:tbl>
    <w:p>
      <w:pPr>
        <w:spacing w:after="147"/>
        <w:jc w:val="both"/>
      </w:pPr>
      <w:r>
        <w:rPr>
          <w:color w:val="212121"/>
          <w:sz w:val="21"/>
        </w:rPr>
        <w:t xml:space="preserve">Las cuentas de demostración se listan en la propia pantalla de login para facilitar la evaluación, e incluyen un usuario </w:t>
      </w:r>
      <w:r>
        <w:rPr>
          <w:b/>
          <w:color w:val="212121"/>
          <w:sz w:val="21"/>
        </w:rPr>
        <w:t>inactivo</w:t>
      </w:r>
      <w:r>
        <w:rPr>
          <w:color w:val="212121"/>
          <w:sz w:val="21"/>
        </w:rPr>
        <w:t xml:space="preserve"> que sirve para demostrar que el sistema rechaza el acceso de cuentas deshabilitadas.</w:t>
      </w:r>
    </w:p>
    <w:p>
      <w:bookmarkStart w:id="6" w:name="sec-7"/>
      <w:pPr>
        <w:pStyle w:val="Heading2"/>
        <w:spacing w:before="513" w:after="189"/>
        <w:jc w:val="left"/>
        <w:pBdr>
          <w:bottom w:val="single" w:sz="6" w:space="3" w:color="E0E0E0"/>
        </w:pBdr>
      </w:pPr>
      <w:bookmarkEnd w:id="6"/>
      <w:r>
        <w:rPr>
          <w:rFonts w:ascii="Segoe UI" w:hAnsi="Segoe UI"/>
          <w:b/>
          <w:color w:val="1565C0"/>
          <w:sz w:val="27"/>
        </w:rPr>
        <w:t>7. Catálogos maestros: CRUD reales</w:t>
      </w:r>
    </w:p>
    <w:p>
      <w:pPr>
        <w:spacing w:after="147"/>
        <w:jc w:val="both"/>
      </w:pPr>
      <w:r>
        <w:rPr>
          <w:color w:val="212121"/>
          <w:sz w:val="21"/>
        </w:rPr>
        <w:t>Los tres catálogos maestros comparten la misma lógica de alta, edición y desactivación, con diferencias puntuales que se detallan a continuación.</w:t>
      </w:r>
    </w:p>
    <w:p>
      <w:pPr>
        <w:pStyle w:val="Heading3"/>
        <w:spacing w:before="220" w:after="154"/>
        <w:jc w:val="left"/>
      </w:pPr>
      <w:r>
        <w:rPr>
          <w:rFonts w:ascii="Segoe UI" w:hAnsi="Segoe UI"/>
          <w:b/>
          <w:color w:val="1A237E"/>
          <w:sz w:val="22"/>
        </w:rPr>
        <w:t>7.1 Productos</w:t>
      </w:r>
    </w:p>
    <w:p>
      <w:pPr>
        <w:spacing w:after="147"/>
        <w:jc w:val="both"/>
      </w:pPr>
      <w:r>
        <w:rPr>
          <w:color w:val="212121"/>
          <w:sz w:val="21"/>
        </w:rPr>
        <w:t xml:space="preserve">La pantalla </w:t>
      </w:r>
      <w:r>
        <w:rPr>
          <w:rFonts w:ascii="Consolas" w:hAnsi="Consolas"/>
          <w:color w:val="1A237E"/>
          <w:sz w:val="18"/>
        </w:rPr>
        <w:t>/productos</w:t>
      </w:r>
      <w:r>
        <w:rPr>
          <w:color w:val="212121"/>
          <w:sz w:val="21"/>
        </w:rPr>
        <w:t xml:space="preserve"> permite crear, consultar, editar, desactivar y reactivar productos. El formulario escribe en </w:t>
      </w:r>
      <w:r>
        <w:rPr>
          <w:rFonts w:ascii="Consolas" w:hAnsi="Consolas"/>
          <w:color w:val="1A237E"/>
          <w:sz w:val="18"/>
        </w:rPr>
        <w:t>operacion.producto</w:t>
      </w:r>
      <w:r>
        <w:rPr>
          <w:color w:val="212121"/>
          <w:sz w:val="21"/>
        </w:rPr>
        <w:t xml:space="preserve"> y cada operación deja su evento en la bitácora (</w:t>
      </w:r>
      <w:r>
        <w:rPr>
          <w:rFonts w:ascii="Consolas" w:hAnsi="Consolas"/>
          <w:color w:val="1A237E"/>
          <w:sz w:val="18"/>
        </w:rPr>
        <w:t>CREATE_PRODUCT</w:t>
      </w:r>
      <w:r>
        <w:rPr>
          <w:color w:val="212121"/>
          <w:sz w:val="21"/>
        </w:rPr>
        <w:t xml:space="preserve">, </w:t>
      </w:r>
      <w:r>
        <w:rPr>
          <w:rFonts w:ascii="Consolas" w:hAnsi="Consolas"/>
          <w:color w:val="1A237E"/>
          <w:sz w:val="18"/>
        </w:rPr>
        <w:t>UPDATE_PRODUCT</w:t>
      </w:r>
      <w:r>
        <w:rPr>
          <w:color w:val="212121"/>
          <w:sz w:val="21"/>
        </w:rPr>
        <w:t xml:space="preserve">, </w:t>
      </w:r>
      <w:r>
        <w:rPr>
          <w:rFonts w:ascii="Consolas" w:hAnsi="Consolas"/>
          <w:color w:val="1A237E"/>
          <w:sz w:val="18"/>
        </w:rPr>
        <w:t>ACTIVATE_PRODUCT</w:t>
      </w:r>
      <w:r>
        <w:rPr>
          <w:color w:val="212121"/>
          <w:sz w:val="21"/>
        </w:rPr>
        <w:t xml:space="preserve">, </w:t>
      </w:r>
      <w:r>
        <w:rPr>
          <w:rFonts w:ascii="Consolas" w:hAnsi="Consolas"/>
          <w:color w:val="1A237E"/>
          <w:sz w:val="18"/>
        </w:rPr>
        <w:t>DEACTIVATE_PRODUCT</w:t>
      </w:r>
      <w:r>
        <w:rPr>
          <w:color w:val="212121"/>
          <w:sz w:val="21"/>
        </w:rPr>
        <w:t>).</w:t>
      </w:r>
    </w:p>
    <w:p>
      <w:pPr>
        <w:spacing w:after="147"/>
        <w:jc w:val="both"/>
      </w:pPr>
      <w:r>
        <w:rPr>
          <w:color w:val="212121"/>
          <w:sz w:val="21"/>
        </w:rPr>
        <w:t>Dos decisiones merecen mención porque corrigen defectos detectados durante las pruebas:</w:t>
      </w:r>
    </w:p>
    <w:p>
      <w:pPr>
        <w:pStyle w:val="ListBullet"/>
        <w:spacing w:after="63"/>
        <w:jc w:val="left"/>
      </w:pPr>
      <w:r>
        <w:rPr>
          <w:b/>
          <w:color w:val="212121"/>
          <w:sz w:val="21"/>
        </w:rPr>
        <w:t>Normalización del GTIN.</w:t>
      </w:r>
      <w:r>
        <w:rPr>
          <w:color w:val="212121"/>
          <w:sz w:val="21"/>
        </w:rPr>
        <w:t xml:space="preserve"> El código original truncaba y rellenaba el GTIN con ceros a la derecha, de modo que </w:t>
      </w:r>
      <w:r>
        <w:rPr>
          <w:rFonts w:ascii="Consolas" w:hAnsi="Consolas"/>
          <w:color w:val="1A237E"/>
          <w:sz w:val="18"/>
        </w:rPr>
        <w:t>7503000000001</w:t>
      </w:r>
      <w:r>
        <w:rPr>
          <w:color w:val="212121"/>
          <w:sz w:val="21"/>
        </w:rPr>
        <w:t xml:space="preserve"> se convertía en </w:t>
      </w:r>
      <w:r>
        <w:rPr>
          <w:rFonts w:ascii="Consolas" w:hAnsi="Consolas"/>
          <w:color w:val="1A237E"/>
          <w:sz w:val="18"/>
        </w:rPr>
        <w:t>75030000000010</w:t>
      </w:r>
      <w:r>
        <w:rPr>
          <w:color w:val="212121"/>
          <w:sz w:val="21"/>
        </w:rPr>
        <w:t xml:space="preserve">, alterando el identificador. La corrección usa </w:t>
      </w:r>
      <w:r>
        <w:rPr>
          <w:rFonts w:ascii="Consolas" w:hAnsi="Consolas"/>
          <w:color w:val="1A237E"/>
          <w:sz w:val="18"/>
        </w:rPr>
        <w:t>zfill(14)</w:t>
      </w:r>
      <w:r>
        <w:rPr>
          <w:color w:val="212121"/>
          <w:sz w:val="21"/>
        </w:rPr>
        <w:t xml:space="preserve">, que rellena </w:t>
      </w:r>
      <w:r>
        <w:rPr>
          <w:b/>
          <w:color w:val="212121"/>
          <w:sz w:val="21"/>
        </w:rPr>
        <w:t>por la izquierda</w:t>
      </w:r>
      <w:r>
        <w:rPr>
          <w:color w:val="212121"/>
          <w:sz w:val="21"/>
        </w:rPr>
        <w:t xml:space="preserve"> como corresponde a un GTIN-14. Cuando el usuario no captura código, el sistema genera uno automáticamente.</w:t>
      </w:r>
    </w:p>
    <w:p>
      <w:pPr>
        <w:pStyle w:val="ListBullet"/>
        <w:spacing w:after="63"/>
        <w:jc w:val="left"/>
      </w:pPr>
      <w:r>
        <w:rPr>
          <w:b/>
          <w:color w:val="212121"/>
          <w:sz w:val="21"/>
        </w:rPr>
        <w:t>Normalización del RFC.</w:t>
      </w:r>
      <w:r>
        <w:rPr>
          <w:color w:val="212121"/>
          <w:sz w:val="21"/>
        </w:rPr>
        <w:t xml:space="preserve"> El código original recortaba a 13 caracteres y rellenaba con </w:t>
      </w:r>
      <w:r>
        <w:rPr>
          <w:rFonts w:ascii="Consolas" w:hAnsi="Consolas"/>
          <w:color w:val="1A237E"/>
          <w:sz w:val="18"/>
        </w:rPr>
        <w:t>X</w:t>
      </w:r>
      <w:r>
        <w:rPr>
          <w:color w:val="212121"/>
          <w:sz w:val="21"/>
        </w:rPr>
        <w:t xml:space="preserve">, transformando </w:t>
      </w:r>
      <w:r>
        <w:rPr>
          <w:rFonts w:ascii="Consolas" w:hAnsi="Consolas"/>
          <w:color w:val="1A237E"/>
          <w:sz w:val="18"/>
        </w:rPr>
        <w:t>DEM260101ABC</w:t>
      </w:r>
      <w:r>
        <w:rPr>
          <w:color w:val="212121"/>
          <w:sz w:val="21"/>
        </w:rPr>
        <w:t xml:space="preserve"> en </w:t>
      </w:r>
      <w:r>
        <w:rPr>
          <w:rFonts w:ascii="Consolas" w:hAnsi="Consolas"/>
          <w:color w:val="1A237E"/>
          <w:sz w:val="18"/>
        </w:rPr>
        <w:t>DEM260101ABCX</w:t>
      </w:r>
      <w:r>
        <w:rPr>
          <w:color w:val="212121"/>
          <w:sz w:val="21"/>
        </w:rPr>
        <w:t>. Ahora el RFC se valida contra el formato oficial y se rechaza si no lo cumple, en lugar de alterarlo en silencio.</w:t>
      </w:r>
    </w:p>
    <w:p>
      <w:pPr>
        <w:pStyle w:val="Heading3"/>
        <w:spacing w:before="220" w:after="154"/>
        <w:jc w:val="left"/>
      </w:pPr>
      <w:r>
        <w:rPr>
          <w:rFonts w:ascii="Segoe UI" w:hAnsi="Segoe UI"/>
          <w:b/>
          <w:color w:val="1A237E"/>
          <w:sz w:val="22"/>
        </w:rPr>
        <w:t>7.2 Proveedores</w:t>
      </w:r>
    </w:p>
    <w:p>
      <w:pPr>
        <w:spacing w:after="147"/>
        <w:jc w:val="both"/>
      </w:pPr>
      <w:r>
        <w:rPr>
          <w:color w:val="212121"/>
          <w:sz w:val="21"/>
        </w:rPr>
        <w:t xml:space="preserve">La pantalla </w:t>
      </w:r>
      <w:r>
        <w:rPr>
          <w:rFonts w:ascii="Consolas" w:hAnsi="Consolas"/>
          <w:color w:val="1A237E"/>
          <w:sz w:val="18"/>
        </w:rPr>
        <w:t>/proveedores</w:t>
      </w:r>
      <w:r>
        <w:rPr>
          <w:color w:val="212121"/>
          <w:sz w:val="21"/>
        </w:rPr>
        <w:t xml:space="preserve"> administra razón social, RFC, correo de contacto, teléfono y dos atributos que el motor de reabastecimiento necesita: </w:t>
      </w:r>
      <w:r>
        <w:rPr>
          <w:b/>
          <w:color w:val="212121"/>
          <w:sz w:val="21"/>
        </w:rPr>
        <w:t>tiempo de entrega en días</w:t>
      </w:r>
      <w:r>
        <w:rPr>
          <w:color w:val="212121"/>
          <w:sz w:val="21"/>
        </w:rPr>
        <w:t xml:space="preserve"> (</w:t>
      </w:r>
      <w:r>
        <w:rPr>
          <w:rFonts w:ascii="Consolas" w:hAnsi="Consolas"/>
          <w:color w:val="1A237E"/>
          <w:sz w:val="18"/>
        </w:rPr>
        <w:t>lead_time_dias</w:t>
      </w:r>
      <w:r>
        <w:rPr>
          <w:color w:val="212121"/>
          <w:sz w:val="21"/>
        </w:rPr>
        <w:t xml:space="preserve">) y </w:t>
      </w:r>
      <w:r>
        <w:rPr>
          <w:b/>
          <w:color w:val="212121"/>
          <w:sz w:val="21"/>
        </w:rPr>
        <w:t>compra mínima</w:t>
      </w:r>
      <w:r>
        <w:rPr>
          <w:color w:val="212121"/>
          <w:sz w:val="21"/>
        </w:rPr>
        <w:t xml:space="preserve"> (</w:t>
      </w:r>
      <w:r>
        <w:rPr>
          <w:rFonts w:ascii="Consolas" w:hAnsi="Consolas"/>
          <w:color w:val="1A237E"/>
          <w:sz w:val="18"/>
        </w:rPr>
        <w:t>moq</w:t>
      </w:r>
      <w:r>
        <w:rPr>
          <w:color w:val="212121"/>
          <w:sz w:val="21"/>
        </w:rPr>
        <w:t>). Sin ellos, la necesidad neta calculada por el sistema no sería ejecutable.</w:t>
      </w:r>
    </w:p>
    <w:p>
      <w:pPr>
        <w:pStyle w:val="Heading3"/>
        <w:spacing w:before="220" w:after="154"/>
        <w:jc w:val="left"/>
      </w:pPr>
      <w:r>
        <w:rPr>
          <w:rFonts w:ascii="Segoe UI" w:hAnsi="Segoe UI"/>
          <w:b/>
          <w:color w:val="1A237E"/>
          <w:sz w:val="22"/>
        </w:rPr>
        <w:t>7.3 Tiendas y CEDIS</w:t>
      </w:r>
    </w:p>
    <w:p>
      <w:pPr>
        <w:spacing w:after="147"/>
        <w:jc w:val="both"/>
      </w:pPr>
      <w:r>
        <w:rPr>
          <w:color w:val="212121"/>
          <w:sz w:val="21"/>
        </w:rPr>
        <w:t xml:space="preserve">La pantalla </w:t>
      </w:r>
      <w:r>
        <w:rPr>
          <w:rFonts w:ascii="Consolas" w:hAnsi="Consolas"/>
          <w:color w:val="1A237E"/>
          <w:sz w:val="18"/>
        </w:rPr>
        <w:t>/tiendas</w:t>
      </w:r>
      <w:r>
        <w:rPr>
          <w:color w:val="212121"/>
          <w:sz w:val="21"/>
        </w:rPr>
        <w:t xml:space="preserve"> administra locaciones con bandera de activo. La distinción entre tienda y CEDIS es relevante porque las transferencias se proponen entre locaciones y porque la demanda se analiza por tienda.</w:t>
      </w:r>
    </w:p>
    <w:p>
      <w:pPr>
        <w:pStyle w:val="Heading3"/>
        <w:spacing w:before="220" w:after="154"/>
        <w:jc w:val="left"/>
      </w:pPr>
      <w:r>
        <w:rPr>
          <w:rFonts w:ascii="Segoe UI" w:hAnsi="Segoe UI"/>
          <w:b/>
          <w:color w:val="1A237E"/>
          <w:sz w:val="22"/>
        </w:rPr>
        <w:t>7.4 Desactivación en lugar de borrado</w:t>
      </w:r>
    </w:p>
    <w:p>
      <w:pPr>
        <w:spacing w:after="147"/>
        <w:jc w:val="both"/>
      </w:pPr>
      <w:r>
        <w:rPr>
          <w:color w:val="212121"/>
          <w:sz w:val="21"/>
        </w:rPr>
        <w:t xml:space="preserve">Los catálogos se desactivan, no se borran. Un producto con historial de ventas no puede eliminarse sin destruir la trazabilidad, y una locación con existencias no puede eliminarse por la restricción </w:t>
      </w:r>
      <w:r>
        <w:rPr>
          <w:rFonts w:ascii="Consolas" w:hAnsi="Consolas"/>
          <w:color w:val="1A237E"/>
          <w:sz w:val="18"/>
        </w:rPr>
        <w:t>ON DELETE RESTRICT</w:t>
      </w:r>
      <w:r>
        <w:rPr>
          <w:color w:val="212121"/>
          <w:sz w:val="21"/>
        </w:rPr>
        <w:t xml:space="preserve">. La bandera </w:t>
      </w:r>
      <w:r>
        <w:rPr>
          <w:rFonts w:ascii="Consolas" w:hAnsi="Consolas"/>
          <w:color w:val="1A237E"/>
          <w:sz w:val="18"/>
        </w:rPr>
        <w:t>activo</w:t>
      </w:r>
      <w:r>
        <w:rPr>
          <w:color w:val="212121"/>
          <w:sz w:val="21"/>
        </w:rPr>
        <w:t xml:space="preserve"> permite retirar un elemento de circulación preservando el histórico.</w:t>
      </w:r>
    </w:p>
    <w:p>
      <w:bookmarkStart w:id="7" w:name="sec-8"/>
      <w:pPr>
        <w:pStyle w:val="Heading2"/>
        <w:spacing w:before="513" w:after="189"/>
        <w:jc w:val="left"/>
        <w:pBdr>
          <w:bottom w:val="single" w:sz="6" w:space="3" w:color="E0E0E0"/>
        </w:pBdr>
      </w:pPr>
      <w:bookmarkEnd w:id="7"/>
      <w:r>
        <w:rPr>
          <w:rFonts w:ascii="Segoe UI" w:hAnsi="Segoe UI"/>
          <w:b/>
          <w:color w:val="1565C0"/>
          <w:sz w:val="27"/>
        </w:rPr>
        <w:t>8. Gestión de lotes, vida útil residual y clasificación de riesgo</w:t>
      </w:r>
    </w:p>
    <w:p>
      <w:pPr>
        <w:spacing w:after="147"/>
        <w:jc w:val="both"/>
      </w:pPr>
      <w:r>
        <w:rPr>
          <w:color w:val="212121"/>
          <w:sz w:val="21"/>
        </w:rPr>
        <w:t>El lote es la unidad de trabajo del sistema: casi todas las decisiones posteriores dependen de su fecha de caducidad y de la vida útil que le queda.</w:t>
      </w:r>
    </w:p>
    <w:p>
      <w:pPr>
        <w:pStyle w:val="Heading3"/>
        <w:spacing w:before="220" w:after="154"/>
        <w:jc w:val="left"/>
      </w:pPr>
      <w:r>
        <w:rPr>
          <w:rFonts w:ascii="Segoe UI" w:hAnsi="Segoe UI"/>
          <w:b/>
          <w:color w:val="1A237E"/>
          <w:sz w:val="22"/>
        </w:rPr>
        <w:t>8.1 Recepción de lotes</w:t>
      </w:r>
    </w:p>
    <w:p>
      <w:pPr>
        <w:spacing w:after="147"/>
        <w:jc w:val="both"/>
      </w:pPr>
      <w:r>
        <w:rPr>
          <w:color w:val="212121"/>
          <w:sz w:val="21"/>
        </w:rPr>
        <w:t xml:space="preserve">La pantalla </w:t>
      </w:r>
      <w:r>
        <w:rPr>
          <w:rFonts w:ascii="Consolas" w:hAnsi="Consolas"/>
          <w:color w:val="1A237E"/>
          <w:sz w:val="18"/>
        </w:rPr>
        <w:t>/lotes</w:t>
      </w:r>
      <w:r>
        <w:rPr>
          <w:color w:val="212121"/>
          <w:sz w:val="21"/>
        </w:rPr>
        <w:t xml:space="preserve"> registra una recepción completa: producto, proveedor, locación de destino, código de lote del proveedor, fechas de producción, recepción y caducidad, cantidad y costo unitario. El alta escribe en una sola transacción el lote, su existencia inicial y el movimiento de kardex correspondiente, y deja tres eventos en la bitácora: </w:t>
      </w:r>
      <w:r>
        <w:rPr>
          <w:rFonts w:ascii="Consolas" w:hAnsi="Consolas"/>
          <w:color w:val="1A237E"/>
          <w:sz w:val="18"/>
        </w:rPr>
        <w:t>CREATE_BATCH</w:t>
      </w:r>
      <w:r>
        <w:rPr>
          <w:color w:val="212121"/>
          <w:sz w:val="21"/>
        </w:rPr>
        <w:t xml:space="preserve">, </w:t>
      </w:r>
      <w:r>
        <w:rPr>
          <w:rFonts w:ascii="Consolas" w:hAnsi="Consolas"/>
          <w:color w:val="1A237E"/>
          <w:sz w:val="18"/>
        </w:rPr>
        <w:t>CREATE_INVENTORY</w:t>
      </w:r>
      <w:r>
        <w:rPr>
          <w:color w:val="212121"/>
          <w:sz w:val="21"/>
        </w:rPr>
        <w:t xml:space="preserve"> y </w:t>
      </w:r>
      <w:r>
        <w:rPr>
          <w:rFonts w:ascii="Consolas" w:hAnsi="Consolas"/>
          <w:color w:val="1A237E"/>
          <w:sz w:val="18"/>
        </w:rPr>
        <w:t>RECEIVE_INVENTORY</w:t>
      </w:r>
      <w:r>
        <w:rPr>
          <w:color w:val="212121"/>
          <w:sz w:val="21"/>
        </w:rPr>
        <w:t>.</w:t>
      </w:r>
    </w:p>
    <w:p>
      <w:pPr>
        <w:spacing w:after="147"/>
        <w:jc w:val="both"/>
      </w:pPr>
      <w:r>
        <w:rPr>
          <w:color w:val="212121"/>
          <w:sz w:val="21"/>
        </w:rPr>
        <w:t>El sistema valida antes de escribir: la cantidad debe ser mayor que cero, la caducidad debe ser posterior a la recepción y la producción no puede ser posterior a la recepción.</w:t>
      </w:r>
    </w:p>
    <w:p>
      <w:pPr>
        <w:pStyle w:val="Heading3"/>
        <w:spacing w:before="220" w:after="154"/>
        <w:jc w:val="left"/>
      </w:pPr>
      <w:r>
        <w:rPr>
          <w:rFonts w:ascii="Segoe UI" w:hAnsi="Segoe UI"/>
          <w:b/>
          <w:color w:val="1A237E"/>
          <w:sz w:val="22"/>
        </w:rPr>
        <w:t>8.2 Vida útil residual calculada</w:t>
      </w:r>
    </w:p>
    <w:p>
      <w:pPr>
        <w:spacing w:after="147"/>
        <w:jc w:val="both"/>
      </w:pPr>
      <w:r>
        <w:rPr>
          <w:color w:val="212121"/>
          <w:sz w:val="21"/>
        </w:rPr>
        <w:t xml:space="preserve">La vida útil residual </w:t>
      </w:r>
      <w:r>
        <w:rPr>
          <w:b/>
          <w:color w:val="212121"/>
          <w:sz w:val="21"/>
        </w:rPr>
        <w:t>no se almacena</w:t>
      </w:r>
      <w:r>
        <w:rPr>
          <w:color w:val="212121"/>
          <w:sz w:val="21"/>
        </w:rPr>
        <w:t xml:space="preserve">: se calcula. La vista </w:t>
      </w:r>
      <w:r>
        <w:rPr>
          <w:rFonts w:ascii="Consolas" w:hAnsi="Consolas"/>
          <w:color w:val="1A237E"/>
          <w:sz w:val="18"/>
        </w:rPr>
        <w:t>operacion.v_inventario_lote</w:t>
      </w:r>
      <w:r>
        <w:rPr>
          <w:color w:val="212121"/>
          <w:sz w:val="21"/>
        </w:rPr>
        <w:t xml:space="preserve"> expone </w:t>
      </w:r>
      <w:r>
        <w:rPr>
          <w:rFonts w:ascii="Consolas" w:hAnsi="Consolas"/>
          <w:color w:val="1A237E"/>
          <w:sz w:val="18"/>
        </w:rPr>
        <w:t>dias_restantes</w:t>
      </w:r>
      <w:r>
        <w:rPr>
          <w:color w:val="212121"/>
          <w:sz w:val="21"/>
        </w:rPr>
        <w:t xml:space="preserve"> como </w:t>
      </w:r>
      <w:r>
        <w:rPr>
          <w:rFonts w:ascii="Consolas" w:hAnsi="Consolas"/>
          <w:color w:val="1A237E"/>
          <w:sz w:val="18"/>
        </w:rPr>
        <w:t>fecha_caducidad - CURRENT_DATE</w:t>
      </w:r>
      <w:r>
        <w:rPr>
          <w:color w:val="212121"/>
          <w:sz w:val="21"/>
        </w:rPr>
        <w:t xml:space="preserve"> y </w:t>
      </w:r>
      <w:r>
        <w:rPr>
          <w:rFonts w:ascii="Consolas" w:hAnsi="Consolas"/>
          <w:color w:val="1A237E"/>
          <w:sz w:val="18"/>
        </w:rPr>
        <w:t>vida_util_pct</w:t>
      </w:r>
      <w:r>
        <w:rPr>
          <w:color w:val="212121"/>
          <w:sz w:val="21"/>
        </w:rPr>
        <w:t xml:space="preserve"> mediante la función </w:t>
      </w:r>
      <w:r>
        <w:rPr>
          <w:rFonts w:ascii="Consolas" w:hAnsi="Consolas"/>
          <w:color w:val="1A237E"/>
          <w:sz w:val="18"/>
        </w:rPr>
        <w:t>operacion.fn_vida_util_pct()</w:t>
      </w:r>
      <w:r>
        <w:rPr>
          <w:color w:val="212121"/>
          <w:sz w:val="21"/>
        </w:rPr>
        <w:t>, que relaciona los días restantes con la vida útil total del lote —desde producción hasta caducidad— o con la vida útil estándar del producto cuando no se registró fecha de producción.</w:t>
      </w:r>
    </w:p>
    <w:p>
      <w:pPr>
        <w:spacing w:after="147"/>
        <w:jc w:val="both"/>
      </w:pPr>
      <w:r>
        <w:rPr>
          <w:color w:val="212121"/>
          <w:sz w:val="21"/>
        </w:rPr>
        <w:t>Que sea un valor calculado es lo que hace que el sistema sea correcto: un lote no cambia de estado por una actualización programada, sino porque el paso del tiempo cambia el resultado de la resta.</w:t>
      </w:r>
    </w:p>
    <w:p>
      <w:pPr>
        <w:pStyle w:val="Heading3"/>
        <w:spacing w:before="220" w:after="154"/>
        <w:jc w:val="left"/>
      </w:pPr>
      <w:r>
        <w:rPr>
          <w:rFonts w:ascii="Segoe UI" w:hAnsi="Segoe UI"/>
          <w:b/>
          <w:color w:val="1A237E"/>
          <w:sz w:val="22"/>
        </w:rPr>
        <w:t>8.3 Clasificación automática de riesgo</w:t>
      </w:r>
    </w:p>
    <w:p>
      <w:pPr>
        <w:spacing w:after="147"/>
        <w:jc w:val="both"/>
      </w:pPr>
      <w:r>
        <w:rPr>
          <w:color w:val="212121"/>
          <w:sz w:val="21"/>
        </w:rPr>
        <w:t xml:space="preserve">La función </w:t>
      </w:r>
      <w:r>
        <w:rPr>
          <w:rFonts w:ascii="Consolas" w:hAnsi="Consolas"/>
          <w:color w:val="1A237E"/>
          <w:sz w:val="18"/>
        </w:rPr>
        <w:t>operacion.fn_clasificar_riesgo()</w:t>
      </w:r>
      <w:r>
        <w:rPr>
          <w:color w:val="212121"/>
          <w:sz w:val="21"/>
        </w:rPr>
        <w:t xml:space="preserve"> traduce los días restantes y el porcentaje de vida útil a cuatro estados:</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Estado</w:t>
            </w:r>
          </w:p>
        </w:tc>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Significado</w:t>
            </w:r>
          </w:p>
        </w:tc>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Acción esperada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NORMAL</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Vida útil suficiente</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Sin acción</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VIGILANCIA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Se acerca al umbral</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Vigilar rotación</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CRITICO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Riesgo inminente de merma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Descuento o transferencia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VENCIDO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Ya caducó</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Baja del inventario</w:t>
            </w:r>
          </w:p>
        </w:tc>
      </w:tr>
    </w:tbl>
    <w:p>
      <w:pPr>
        <w:spacing w:after="147"/>
        <w:jc w:val="both"/>
      </w:pPr>
      <w:r>
        <w:rPr>
          <w:color w:val="212121"/>
          <w:sz w:val="21"/>
        </w:rPr>
        <w:t xml:space="preserve">Los umbrales </w:t>
      </w:r>
      <w:r>
        <w:rPr>
          <w:b/>
          <w:color w:val="212121"/>
          <w:sz w:val="21"/>
        </w:rPr>
        <w:t>no están en el código</w:t>
      </w:r>
      <w:r>
        <w:rPr>
          <w:color w:val="212121"/>
          <w:sz w:val="21"/>
        </w:rPr>
        <w:t xml:space="preserve">: viven en </w:t>
      </w:r>
      <w:r>
        <w:rPr>
          <w:rFonts w:ascii="Consolas" w:hAnsi="Consolas"/>
          <w:color w:val="1A237E"/>
          <w:sz w:val="18"/>
        </w:rPr>
        <w:t>operacion.regla_riesgo</w:t>
      </w:r>
      <w:r>
        <w:rPr>
          <w:color w:val="212121"/>
          <w:sz w:val="21"/>
        </w:rPr>
        <w:t xml:space="preserve"> y se resuelven por especificidad decreciente —primero por SKU, luego por categoría, finalmente la regla por defecto—. La tabla cargada contiene siete reglas:</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Categoría</w:t>
            </w:r>
          </w:p>
        </w:tc>
        <w:tc>
          <w:tcPr>
            <w:tcW w:type="dxa" w:w="1728"/>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Días para vigilancia</w:t>
            </w:r>
          </w:p>
        </w:tc>
        <w:tc>
          <w:tcPr>
            <w:tcW w:type="dxa" w:w="1728"/>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Días para crítico</w:t>
            </w:r>
          </w:p>
        </w:tc>
        <w:tc>
          <w:tcPr>
            <w:tcW w:type="dxa" w:w="1728"/>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 de vida para vigilancia</w:t>
            </w:r>
          </w:p>
        </w:tc>
        <w:tc>
          <w:tcPr>
            <w:tcW w:type="dxa" w:w="1728"/>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 de vida para crítico</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Carnes</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40 %</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20 %</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Panadería</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40 %</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20 %</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Lácteos</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4</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25 %</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10 %</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Frutas</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3</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25 %</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10 %</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Verduras</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3</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30 %</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15 %</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Abarrotes</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15</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5</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20 %</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5 %</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Por defecto</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5</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30 %</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10 %</w:t>
            </w:r>
          </w:p>
        </w:tc>
      </w:tr>
    </w:tbl>
    <w:p>
      <w:pPr>
        <w:spacing w:after="147"/>
        <w:jc w:val="both"/>
      </w:pPr>
      <w:r>
        <w:rPr>
          <w:color w:val="212121"/>
          <w:sz w:val="21"/>
        </w:rPr>
        <w:t>La consecuencia práctica es que un mismo número de días restantes produce clasificaciones distintas según el producto: dos días son críticos para un cárnico y normales para un abarrote. Eso es exactamente lo que la rúbrica pedía al exigir umbrales configurables por tipo de producto.</w:t>
      </w:r>
    </w:p>
    <w:p>
      <w:bookmarkStart w:id="8" w:name="sec-9"/>
      <w:pPr>
        <w:pStyle w:val="Heading2"/>
        <w:spacing w:before="513" w:after="189"/>
        <w:jc w:val="left"/>
        <w:pBdr>
          <w:bottom w:val="single" w:sz="6" w:space="3" w:color="E0E0E0"/>
        </w:pBdr>
      </w:pPr>
      <w:bookmarkEnd w:id="8"/>
      <w:r>
        <w:rPr>
          <w:rFonts w:ascii="Segoe UI" w:hAnsi="Segoe UI"/>
          <w:b/>
          <w:color w:val="1565C0"/>
          <w:sz w:val="27"/>
        </w:rPr>
        <w:t>9. Inventario, consumo FEFO y trazabilidad</w:t>
      </w:r>
    </w:p>
    <w:p>
      <w:pPr>
        <w:spacing w:after="147"/>
        <w:jc w:val="both"/>
      </w:pPr>
      <w:r>
        <w:rPr>
          <w:color w:val="212121"/>
          <w:sz w:val="21"/>
        </w:rPr>
        <w:t>Una vez que el sistema sabe cuánto queda de cada lote y cuándo vence, puede decidir en qué orden consumirlo y cómo reconstruir su historia.</w:t>
      </w:r>
    </w:p>
    <w:p>
      <w:pPr>
        <w:pStyle w:val="Heading3"/>
        <w:spacing w:before="220" w:after="154"/>
        <w:jc w:val="left"/>
      </w:pPr>
      <w:r>
        <w:rPr>
          <w:rFonts w:ascii="Segoe UI" w:hAnsi="Segoe UI"/>
          <w:b/>
          <w:color w:val="1A237E"/>
          <w:sz w:val="22"/>
        </w:rPr>
        <w:t>9.1 Inventario consultable en cuatro niveles</w:t>
      </w:r>
    </w:p>
    <w:p>
      <w:pPr>
        <w:spacing w:after="147"/>
        <w:jc w:val="both"/>
      </w:pPr>
      <w:r>
        <w:rPr>
          <w:color w:val="212121"/>
          <w:sz w:val="21"/>
        </w:rPr>
        <w:t xml:space="preserve">La pantalla </w:t>
      </w:r>
      <w:r>
        <w:rPr>
          <w:rFonts w:ascii="Consolas" w:hAnsi="Consolas"/>
          <w:color w:val="1A237E"/>
          <w:sz w:val="18"/>
        </w:rPr>
        <w:t>/inventario</w:t>
      </w:r>
      <w:r>
        <w:rPr>
          <w:color w:val="212121"/>
          <w:sz w:val="21"/>
        </w:rPr>
        <w:t xml:space="preserve"> permite recorrer la jerarquía </w:t>
      </w:r>
      <w:r>
        <w:rPr>
          <w:b/>
          <w:color w:val="212121"/>
          <w:sz w:val="21"/>
        </w:rPr>
        <w:t>producto → tienda → lote → fecha de caducidad</w:t>
      </w:r>
      <w:r>
        <w:rPr>
          <w:color w:val="212121"/>
          <w:sz w:val="21"/>
        </w:rPr>
        <w:t xml:space="preserve">, con los días restantes y la clasificación de riesgo de cada lote. La consulta se resuelve contra </w:t>
      </w:r>
      <w:r>
        <w:rPr>
          <w:rFonts w:ascii="Consolas" w:hAnsi="Consolas"/>
          <w:color w:val="1A237E"/>
          <w:sz w:val="18"/>
        </w:rPr>
        <w:t>operacion.v_inventario_lote</w:t>
      </w:r>
      <w:r>
        <w:rPr>
          <w:color w:val="212121"/>
          <w:sz w:val="21"/>
        </w:rPr>
        <w:t>, que une lote, producto, locación y existencia.</w:t>
      </w:r>
    </w:p>
    <w:p>
      <w:pPr>
        <w:pStyle w:val="Heading3"/>
        <w:spacing w:before="220" w:after="154"/>
        <w:jc w:val="left"/>
      </w:pPr>
      <w:r>
        <w:rPr>
          <w:rFonts w:ascii="Segoe UI" w:hAnsi="Segoe UI"/>
          <w:b/>
          <w:color w:val="1A237E"/>
          <w:sz w:val="22"/>
        </w:rPr>
        <w:t>9.2 Descomposición del inventario en tres valores</w:t>
      </w:r>
    </w:p>
    <w:p>
      <w:pPr>
        <w:spacing w:after="147"/>
        <w:jc w:val="both"/>
      </w:pPr>
      <w:r>
        <w:rPr>
          <w:color w:val="212121"/>
          <w:sz w:val="21"/>
        </w:rPr>
        <w:t>El motor analítico distingue tres lecturas del mismo inventario, y la distinción es la base de todo el cálculo de reabastecimiento:</w:t>
      </w:r>
    </w:p>
    <w:p>
      <w:pPr>
        <w:pStyle w:val="ListBullet"/>
        <w:spacing w:after="63"/>
        <w:jc w:val="left"/>
      </w:pPr>
      <w:r>
        <w:rPr>
          <w:b/>
          <w:color w:val="212121"/>
          <w:sz w:val="21"/>
        </w:rPr>
        <w:t>Inventario físico</w:t>
      </w:r>
      <w:r>
        <w:rPr>
          <w:color w:val="212121"/>
          <w:sz w:val="21"/>
        </w:rPr>
        <w:t xml:space="preserve"> — la suma de </w:t>
      </w:r>
      <w:r>
        <w:rPr>
          <w:rFonts w:ascii="Consolas" w:hAnsi="Consolas"/>
          <w:color w:val="1A237E"/>
          <w:sz w:val="18"/>
        </w:rPr>
        <w:t>existencia.cantidad_disponible</w:t>
      </w:r>
      <w:r>
        <w:rPr>
          <w:color w:val="212121"/>
          <w:sz w:val="21"/>
        </w:rPr>
        <w:t>. Es lo que hay en el anaquel.</w:t>
      </w:r>
    </w:p>
    <w:p>
      <w:pPr>
        <w:pStyle w:val="ListBullet"/>
        <w:spacing w:after="63"/>
        <w:jc w:val="left"/>
      </w:pPr>
      <w:r>
        <w:rPr>
          <w:b/>
          <w:color w:val="212121"/>
          <w:sz w:val="21"/>
        </w:rPr>
        <w:t>Inventario en riesgo</w:t>
      </w:r>
      <w:r>
        <w:rPr>
          <w:color w:val="212121"/>
          <w:sz w:val="21"/>
        </w:rPr>
        <w:t xml:space="preserve"> — la parte que probablemente no se venda antes de caducar. Se estima por lote como el excedente sobre cinco días de demanda diaria.</w:t>
      </w:r>
    </w:p>
    <w:p>
      <w:pPr>
        <w:pStyle w:val="ListBullet"/>
        <w:spacing w:after="63"/>
        <w:jc w:val="left"/>
      </w:pPr>
      <w:r>
        <w:rPr>
          <w:b/>
          <w:color w:val="212121"/>
          <w:sz w:val="21"/>
        </w:rPr>
        <w:t>Inventario útil proyectado</w:t>
      </w:r>
      <w:r>
        <w:rPr>
          <w:color w:val="212121"/>
          <w:sz w:val="21"/>
        </w:rPr>
        <w:t xml:space="preserve"> — la diferencia entre los dos anteriores. Es lo que realmente puede satisfacer demanda futura.</w:t>
      </w:r>
    </w:p>
    <w:p>
      <w:pPr>
        <w:spacing w:after="147"/>
        <w:jc w:val="both"/>
      </w:pPr>
      <w:r>
        <w:rPr>
          <w:color w:val="212121"/>
          <w:sz w:val="21"/>
        </w:rPr>
        <w:t>Un sistema que reabastece usando el inventario físico compra de más justo cuando ya tiene producto en riesgo de vencerse. Esa es la razón de separar los tres valores.</w:t>
      </w:r>
    </w:p>
    <w:p>
      <w:pPr>
        <w:pStyle w:val="Heading3"/>
        <w:spacing w:before="220" w:after="154"/>
        <w:jc w:val="left"/>
      </w:pPr>
      <w:r>
        <w:rPr>
          <w:rFonts w:ascii="Segoe UI" w:hAnsi="Segoe UI"/>
          <w:b/>
          <w:color w:val="1A237E"/>
          <w:sz w:val="22"/>
        </w:rPr>
        <w:t>9.3 Consumo FEFO transaccional</w:t>
      </w:r>
    </w:p>
    <w:p>
      <w:pPr>
        <w:spacing w:after="147"/>
        <w:jc w:val="both"/>
      </w:pPr>
      <w:r>
        <w:rPr>
          <w:color w:val="212121"/>
          <w:sz w:val="21"/>
        </w:rPr>
        <w:t xml:space="preserve">La venta consume primero el lote que caduca antes. La operación abre una transacción y bloquea las filas con </w:t>
      </w:r>
      <w:r>
        <w:rPr>
          <w:rFonts w:ascii="Consolas" w:hAnsi="Consolas"/>
          <w:color w:val="1A237E"/>
          <w:sz w:val="18"/>
        </w:rPr>
        <w:t>SELECT … FOR UPDATE</w:t>
      </w:r>
      <w:r>
        <w:rPr>
          <w:color w:val="212121"/>
          <w:sz w:val="21"/>
        </w:rPr>
        <w:t xml:space="preserve"> antes de decidir cuánto tomar de cada lote, lo que evita que dos ventas simultáneas descuenten la misma existencia.</w:t>
      </w:r>
    </w:p>
    <w:p>
      <w:pPr>
        <w:spacing w:after="147"/>
        <w:jc w:val="both"/>
      </w:pPr>
      <w:r>
        <w:rPr>
          <w:color w:val="212121"/>
          <w:sz w:val="21"/>
        </w:rPr>
        <w:t>La secuencia dentro de una sola transacción es: seleccionar los lotes ordenados por fecha de caducidad con bloqueo de fila, descontar la cantidad de cada lote hasta cubrir la venta, insertar una línea de detalle por cada lote consumido y escribir el movimiento de kardex. Si algo falla, todo se revierte.</w:t>
      </w:r>
    </w:p>
    <w:p>
      <w:pPr>
        <w:spacing w:after="147"/>
        <w:jc w:val="both"/>
      </w:pPr>
      <w:r>
        <w:rPr>
          <w:color w:val="212121"/>
          <w:sz w:val="21"/>
        </w:rPr>
        <w:t>El guion de demostración comprueba este comportamiento de forma explícita: se reciben dos lotes del mismo producto —uno que caduca en cinco días y otro en veinte— y luego se vende una cantidad que cabe en el primero. El sistema debe consumir el lote próximo a vencer y dejar intacto el otro.</w:t>
      </w:r>
    </w:p>
    <w:p>
      <w:pPr>
        <w:pStyle w:val="Heading3"/>
        <w:spacing w:before="220" w:after="154"/>
        <w:jc w:val="left"/>
      </w:pPr>
      <w:r>
        <w:rPr>
          <w:rFonts w:ascii="Segoe UI" w:hAnsi="Segoe UI"/>
          <w:b/>
          <w:color w:val="1A237E"/>
          <w:sz w:val="22"/>
        </w:rPr>
        <w:t>9.4 Trazabilidad del lote</w:t>
      </w:r>
    </w:p>
    <w:p>
      <w:pPr>
        <w:spacing w:after="147"/>
        <w:jc w:val="both"/>
      </w:pPr>
      <w:r>
        <w:rPr>
          <w:color w:val="212121"/>
          <w:sz w:val="21"/>
        </w:rPr>
        <w:t xml:space="preserve">La pantalla </w:t>
      </w:r>
      <w:r>
        <w:rPr>
          <w:rFonts w:ascii="Consolas" w:hAnsi="Consolas"/>
          <w:color w:val="1A237E"/>
          <w:sz w:val="18"/>
        </w:rPr>
        <w:t>/trazabilidad</w:t>
      </w:r>
      <w:r>
        <w:rPr>
          <w:color w:val="212121"/>
          <w:sz w:val="21"/>
        </w:rPr>
        <w:t xml:space="preserve"> reconstruye la vida completa de un lote a partir de </w:t>
      </w:r>
      <w:r>
        <w:rPr>
          <w:rFonts w:ascii="Consolas" w:hAnsi="Consolas"/>
          <w:color w:val="1A237E"/>
          <w:sz w:val="18"/>
        </w:rPr>
        <w:t>analitica.v_trazabilidad_lote</w:t>
      </w:r>
      <w:r>
        <w:rPr>
          <w:color w:val="212121"/>
          <w:sz w:val="21"/>
        </w:rPr>
        <w:t xml:space="preserve"> y del kardex: proveedor de origen, recepción, locación, existencia actual, ventas FEFO que lo consumieron, transferencias en las que participó, mermas registradas y estado final. La verificación del guion comprueba que el kardex reconstruye la aritmética del lote: lo recibido menos lo vendido menos lo mermado es igual a lo que queda.</w:t>
      </w:r>
    </w:p>
    <w:p>
      <w:bookmarkStart w:id="9" w:name="sec-10"/>
      <w:pPr>
        <w:pStyle w:val="Heading2"/>
        <w:spacing w:before="513" w:after="189"/>
        <w:jc w:val="left"/>
        <w:pBdr>
          <w:bottom w:val="single" w:sz="6" w:space="3" w:color="E0E0E0"/>
        </w:pBdr>
      </w:pPr>
      <w:bookmarkEnd w:id="9"/>
      <w:r>
        <w:rPr>
          <w:rFonts w:ascii="Segoe UI" w:hAnsi="Segoe UI"/>
          <w:b/>
          <w:color w:val="1565C0"/>
          <w:sz w:val="27"/>
        </w:rPr>
        <w:t>10. Ventas y mermas</w:t>
      </w:r>
    </w:p>
    <w:p>
      <w:pPr>
        <w:spacing w:after="147"/>
        <w:jc w:val="both"/>
      </w:pPr>
      <w:r>
        <w:rPr>
          <w:color w:val="212121"/>
          <w:sz w:val="21"/>
        </w:rPr>
        <w:t>Las ventas y las mermas son las dos únicas operaciones que reducen inventario, y por eso ambas están sujetas a las mismas garantías transaccionales.</w:t>
      </w:r>
    </w:p>
    <w:p>
      <w:pPr>
        <w:pStyle w:val="Heading3"/>
        <w:spacing w:before="220" w:after="154"/>
        <w:jc w:val="left"/>
      </w:pPr>
      <w:r>
        <w:rPr>
          <w:rFonts w:ascii="Segoe UI" w:hAnsi="Segoe UI"/>
          <w:b/>
          <w:color w:val="1A237E"/>
          <w:sz w:val="22"/>
        </w:rPr>
        <w:t>10.1 Registro de ventas</w:t>
      </w:r>
    </w:p>
    <w:p>
      <w:pPr>
        <w:spacing w:after="147"/>
        <w:jc w:val="both"/>
      </w:pPr>
      <w:r>
        <w:rPr>
          <w:color w:val="212121"/>
          <w:sz w:val="21"/>
        </w:rPr>
        <w:t xml:space="preserve">La pantalla </w:t>
      </w:r>
      <w:r>
        <w:rPr>
          <w:rFonts w:ascii="Consolas" w:hAnsi="Consolas"/>
          <w:color w:val="1A237E"/>
          <w:sz w:val="18"/>
        </w:rPr>
        <w:t>/ventas</w:t>
      </w:r>
      <w:r>
        <w:rPr>
          <w:color w:val="212121"/>
          <w:sz w:val="21"/>
        </w:rPr>
        <w:t xml:space="preserve"> registra una venta por locación y producto. El sistema resuelve internamente qué lotes consumir aplicando FEFO y deja el rastro completo: cabecera de venta, una línea por lote, movimientos de kardex y evento </w:t>
      </w:r>
      <w:r>
        <w:rPr>
          <w:rFonts w:ascii="Consolas" w:hAnsi="Consolas"/>
          <w:color w:val="1A237E"/>
          <w:sz w:val="18"/>
        </w:rPr>
        <w:t>REGISTER_SALE</w:t>
      </w:r>
      <w:r>
        <w:rPr>
          <w:color w:val="212121"/>
          <w:sz w:val="21"/>
        </w:rPr>
        <w:t xml:space="preserve"> en la bitácora.</w:t>
      </w:r>
    </w:p>
    <w:p>
      <w:pPr>
        <w:pStyle w:val="Heading3"/>
        <w:spacing w:before="220" w:after="154"/>
        <w:jc w:val="left"/>
      </w:pPr>
      <w:r>
        <w:rPr>
          <w:rFonts w:ascii="Segoe UI" w:hAnsi="Segoe UI"/>
          <w:b/>
          <w:color w:val="1A237E"/>
          <w:sz w:val="22"/>
        </w:rPr>
        <w:t>10.2 Registro de mermas</w:t>
      </w:r>
    </w:p>
    <w:p>
      <w:pPr>
        <w:spacing w:after="147"/>
        <w:jc w:val="both"/>
      </w:pPr>
      <w:r>
        <w:rPr>
          <w:color w:val="212121"/>
          <w:sz w:val="21"/>
        </w:rPr>
        <w:t xml:space="preserve">La pantalla </w:t>
      </w:r>
      <w:r>
        <w:rPr>
          <w:rFonts w:ascii="Consolas" w:hAnsi="Consolas"/>
          <w:color w:val="1A237E"/>
          <w:sz w:val="18"/>
        </w:rPr>
        <w:t>/mermas</w:t>
      </w:r>
      <w:r>
        <w:rPr>
          <w:color w:val="212121"/>
          <w:sz w:val="21"/>
        </w:rPr>
        <w:t xml:space="preserve"> registra una merma indicando locación, lote, cantidad, causa y observación. El flujo exigido —validar, registrar, descontar y auditar— se cumple íntegramente:</w:t>
      </w:r>
    </w:p>
    <w:p>
      <w:pPr>
        <w:pStyle w:val="ListNumber"/>
        <w:numPr>
          <w:ilvl w:val="0"/>
          <w:numId w:val="14"/>
        </w:numPr>
        <w:spacing w:after="63"/>
        <w:jc w:val="left"/>
      </w:pPr>
      <w:r>
        <w:rPr>
          <w:b/>
          <w:color w:val="212121"/>
          <w:sz w:val="21"/>
        </w:rPr>
        <w:t>Validar.</w:t>
      </w:r>
      <w:r>
        <w:rPr>
          <w:color w:val="212121"/>
          <w:sz w:val="21"/>
        </w:rPr>
        <w:t xml:space="preserve"> El sistema comprueba que exista la cantidad suficiente en ese lote y esa locación. Si la merma excede la existencia, la operación se rechaza y </w:t>
      </w:r>
      <w:r>
        <w:rPr>
          <w:b/>
          <w:color w:val="212121"/>
          <w:sz w:val="21"/>
        </w:rPr>
        <w:t>no se escribe nada</w:t>
      </w:r>
      <w:r>
        <w:rPr>
          <w:color w:val="212121"/>
          <w:sz w:val="21"/>
        </w:rPr>
        <w:t>.</w:t>
      </w:r>
    </w:p>
    <w:p>
      <w:pPr>
        <w:pStyle w:val="ListNumber"/>
        <w:numPr>
          <w:ilvl w:val="0"/>
          <w:numId w:val="14"/>
        </w:numPr>
        <w:spacing w:after="63"/>
        <w:jc w:val="left"/>
      </w:pPr>
      <w:r>
        <w:rPr>
          <w:b/>
          <w:color w:val="212121"/>
          <w:sz w:val="21"/>
        </w:rPr>
        <w:t>Registrar.</w:t>
      </w:r>
      <w:r>
        <w:rPr>
          <w:color w:val="212121"/>
          <w:sz w:val="21"/>
        </w:rPr>
        <w:t xml:space="preserve"> Se inserta la fila en </w:t>
      </w:r>
      <w:r>
        <w:rPr>
          <w:rFonts w:ascii="Consolas" w:hAnsi="Consolas"/>
          <w:color w:val="1A237E"/>
          <w:sz w:val="18"/>
        </w:rPr>
        <w:t>operacion.merma</w:t>
      </w:r>
      <w:r>
        <w:rPr>
          <w:color w:val="212121"/>
          <w:sz w:val="21"/>
        </w:rPr>
        <w:t xml:space="preserve"> con la causa, la cantidad y el usuario responsable.</w:t>
      </w:r>
    </w:p>
    <w:p>
      <w:pPr>
        <w:pStyle w:val="ListNumber"/>
        <w:numPr>
          <w:ilvl w:val="0"/>
          <w:numId w:val="14"/>
        </w:numPr>
        <w:spacing w:after="63"/>
        <w:jc w:val="left"/>
      </w:pPr>
      <w:r>
        <w:rPr>
          <w:b/>
          <w:color w:val="212121"/>
          <w:sz w:val="21"/>
        </w:rPr>
        <w:t>Descontar.</w:t>
      </w:r>
      <w:r>
        <w:rPr>
          <w:color w:val="212121"/>
          <w:sz w:val="21"/>
        </w:rPr>
        <w:t xml:space="preserve"> Se reduce </w:t>
      </w:r>
      <w:r>
        <w:rPr>
          <w:rFonts w:ascii="Consolas" w:hAnsi="Consolas"/>
          <w:color w:val="1A237E"/>
          <w:sz w:val="18"/>
        </w:rPr>
        <w:t>existencia.cantidad_disponible</w:t>
      </w:r>
      <w:r>
        <w:rPr>
          <w:color w:val="212121"/>
          <w:sz w:val="21"/>
        </w:rPr>
        <w:t xml:space="preserve"> y se escribe el movimiento de kardex.</w:t>
      </w:r>
    </w:p>
    <w:p>
      <w:pPr>
        <w:pStyle w:val="ListNumber"/>
        <w:numPr>
          <w:ilvl w:val="0"/>
          <w:numId w:val="14"/>
        </w:numPr>
        <w:spacing w:after="63"/>
        <w:jc w:val="left"/>
      </w:pPr>
      <w:r>
        <w:rPr>
          <w:b/>
          <w:color w:val="212121"/>
          <w:sz w:val="21"/>
        </w:rPr>
        <w:t>Auditar.</w:t>
      </w:r>
      <w:r>
        <w:rPr>
          <w:color w:val="212121"/>
          <w:sz w:val="21"/>
        </w:rPr>
        <w:t xml:space="preserve"> Los disparadores y el módulo de auditoría dejan </w:t>
      </w:r>
      <w:r>
        <w:rPr>
          <w:rFonts w:ascii="Consolas" w:hAnsi="Consolas"/>
          <w:color w:val="1A237E"/>
          <w:sz w:val="18"/>
        </w:rPr>
        <w:t>CREATE_SHRINKAGE</w:t>
      </w:r>
      <w:r>
        <w:rPr>
          <w:color w:val="212121"/>
          <w:sz w:val="21"/>
        </w:rPr>
        <w:t xml:space="preserve"> y </w:t>
      </w:r>
      <w:r>
        <w:rPr>
          <w:rFonts w:ascii="Consolas" w:hAnsi="Consolas"/>
          <w:color w:val="1A237E"/>
          <w:sz w:val="18"/>
        </w:rPr>
        <w:t>REGISTER_SHRINKAGE</w:t>
      </w:r>
      <w:r>
        <w:rPr>
          <w:color w:val="212121"/>
          <w:sz w:val="21"/>
        </w:rPr>
        <w:t xml:space="preserve"> en la bitácora.</w:t>
      </w:r>
    </w:p>
    <w:p>
      <w:pPr>
        <w:spacing w:after="147"/>
        <w:jc w:val="both"/>
      </w:pPr>
      <w:r>
        <w:rPr>
          <w:color w:val="212121"/>
          <w:sz w:val="21"/>
        </w:rPr>
        <w:t xml:space="preserve">El </w:t>
      </w:r>
      <w:r>
        <w:rPr>
          <w:b/>
          <w:color w:val="212121"/>
          <w:sz w:val="21"/>
        </w:rPr>
        <w:t>valor de la merma no se captura</w:t>
      </w:r>
      <w:r>
        <w:rPr>
          <w:color w:val="212121"/>
          <w:sz w:val="21"/>
        </w:rPr>
        <w:t>: la base lo calcula a partir del costo unitario del lote, de modo que no puede declararse un valor distinto al que corresponde.</w:t>
      </w:r>
    </w:p>
    <w:p>
      <w:pPr>
        <w:spacing w:after="147"/>
        <w:jc w:val="both"/>
      </w:pPr>
      <w:r>
        <w:rPr>
          <w:color w:val="212121"/>
          <w:sz w:val="21"/>
        </w:rPr>
        <w:t xml:space="preserve">Las siete causas admitidas, restringidas por una restricción </w:t>
      </w:r>
      <w:r>
        <w:rPr>
          <w:rFonts w:ascii="Consolas" w:hAnsi="Consolas"/>
          <w:color w:val="1A237E"/>
          <w:sz w:val="18"/>
        </w:rPr>
        <w:t>CHECK</w:t>
      </w:r>
      <w:r>
        <w:rPr>
          <w:color w:val="212121"/>
          <w:sz w:val="21"/>
        </w:rPr>
        <w:t xml:space="preserve">, son: </w:t>
      </w:r>
      <w:r>
        <w:rPr>
          <w:rFonts w:ascii="Consolas" w:hAnsi="Consolas"/>
          <w:color w:val="1A237E"/>
          <w:sz w:val="18"/>
        </w:rPr>
        <w:t>CADUCIDAD</w:t>
      </w:r>
      <w:r>
        <w:rPr>
          <w:color w:val="212121"/>
          <w:sz w:val="21"/>
        </w:rPr>
        <w:t xml:space="preserve">, </w:t>
      </w:r>
      <w:r>
        <w:rPr>
          <w:rFonts w:ascii="Consolas" w:hAnsi="Consolas"/>
          <w:color w:val="1A237E"/>
          <w:sz w:val="18"/>
        </w:rPr>
        <w:t>DAÑO</w:t>
      </w:r>
      <w:r>
        <w:rPr>
          <w:color w:val="212121"/>
          <w:sz w:val="21"/>
        </w:rPr>
        <w:t xml:space="preserve">, </w:t>
      </w:r>
      <w:r>
        <w:rPr>
          <w:rFonts w:ascii="Consolas" w:hAnsi="Consolas"/>
          <w:color w:val="1A237E"/>
          <w:sz w:val="18"/>
        </w:rPr>
        <w:t>CALIDAD</w:t>
      </w:r>
      <w:r>
        <w:rPr>
          <w:color w:val="212121"/>
          <w:sz w:val="21"/>
        </w:rPr>
        <w:t xml:space="preserve">, </w:t>
      </w:r>
      <w:r>
        <w:rPr>
          <w:rFonts w:ascii="Consolas" w:hAnsi="Consolas"/>
          <w:color w:val="1A237E"/>
          <w:sz w:val="18"/>
        </w:rPr>
        <w:t>CADENA_DE_FRÍO</w:t>
      </w:r>
      <w:r>
        <w:rPr>
          <w:color w:val="212121"/>
          <w:sz w:val="21"/>
        </w:rPr>
        <w:t xml:space="preserve">, </w:t>
      </w:r>
      <w:r>
        <w:rPr>
          <w:rFonts w:ascii="Consolas" w:hAnsi="Consolas"/>
          <w:color w:val="1A237E"/>
          <w:sz w:val="18"/>
        </w:rPr>
        <w:t>MANIPULACIÓN</w:t>
      </w:r>
      <w:r>
        <w:rPr>
          <w:color w:val="212121"/>
          <w:sz w:val="21"/>
        </w:rPr>
        <w:t xml:space="preserve">, </w:t>
      </w:r>
      <w:r>
        <w:rPr>
          <w:rFonts w:ascii="Consolas" w:hAnsi="Consolas"/>
          <w:color w:val="1A237E"/>
          <w:sz w:val="18"/>
        </w:rPr>
        <w:t>DEVOLUCIÓN</w:t>
      </w:r>
      <w:r>
        <w:rPr>
          <w:color w:val="212121"/>
          <w:sz w:val="21"/>
        </w:rPr>
        <w:t xml:space="preserve"> y </w:t>
      </w:r>
      <w:r>
        <w:rPr>
          <w:rFonts w:ascii="Consolas" w:hAnsi="Consolas"/>
          <w:color w:val="1A237E"/>
          <w:sz w:val="18"/>
        </w:rPr>
        <w:t>OTRA</w:t>
      </w:r>
      <w:r>
        <w:rPr>
          <w:color w:val="212121"/>
          <w:sz w:val="21"/>
        </w:rPr>
        <w:t>.</w:t>
      </w:r>
    </w:p>
    <w:p>
      <w:pPr>
        <w:pStyle w:val="Heading3"/>
        <w:spacing w:before="220" w:after="154"/>
        <w:jc w:val="left"/>
      </w:pPr>
      <w:r>
        <w:rPr>
          <w:rFonts w:ascii="Segoe UI" w:hAnsi="Segoe UI"/>
          <w:b/>
          <w:color w:val="1A237E"/>
          <w:sz w:val="22"/>
        </w:rPr>
        <w:t>10.3 Por qué el mensaje de confirmación importa</w:t>
      </w:r>
    </w:p>
    <w:p>
      <w:pPr>
        <w:spacing w:after="147"/>
        <w:jc w:val="both"/>
      </w:pPr>
      <w:r>
        <w:rPr>
          <w:color w:val="212121"/>
          <w:sz w:val="21"/>
        </w:rPr>
        <w:t>Un mensaje que dice «merma registrada correctamente» sin que exista la fila correspondiente es peor que un error: produce confianza falsa. Por eso el guion de demostración no se conforma con leer el mensaje en pantalla —consulta la base después de cada acción y compara la existencia antes y después. En el paso correspondiente se verifica que la merma descuente exactamente la cantidad registrada y que un intento de merma imposible deje el conteo de filas inalterado.</w:t>
      </w:r>
    </w:p>
    <w:p>
      <w:bookmarkStart w:id="10" w:name="sec-11"/>
      <w:pPr>
        <w:pStyle w:val="Heading2"/>
        <w:spacing w:before="513" w:after="189"/>
        <w:jc w:val="left"/>
        <w:pBdr>
          <w:bottom w:val="single" w:sz="6" w:space="3" w:color="E0E0E0"/>
        </w:pBdr>
      </w:pPr>
      <w:bookmarkEnd w:id="10"/>
      <w:r>
        <w:rPr>
          <w:rFonts w:ascii="Segoe UI" w:hAnsi="Segoe UI"/>
          <w:b/>
          <w:color w:val="1565C0"/>
          <w:sz w:val="27"/>
        </w:rPr>
        <w:t>11. Pronóstico de demanda y medición del error</w:t>
      </w:r>
    </w:p>
    <w:p>
      <w:pPr>
        <w:spacing w:after="147"/>
        <w:jc w:val="both"/>
      </w:pPr>
      <w:r>
        <w:rPr>
          <w:color w:val="212121"/>
          <w:sz w:val="21"/>
        </w:rPr>
        <w:t>Pronosticar bien no consiste en elegir el modelo más sofisticado, sino en poder demostrar cuánto se equivoca el que se eligió.</w:t>
      </w:r>
    </w:p>
    <w:p>
      <w:pPr>
        <w:pStyle w:val="Heading3"/>
        <w:spacing w:before="220" w:after="154"/>
        <w:jc w:val="left"/>
      </w:pPr>
      <w:r>
        <w:rPr>
          <w:rFonts w:ascii="Segoe UI" w:hAnsi="Segoe UI"/>
          <w:b/>
          <w:color w:val="1A237E"/>
          <w:sz w:val="22"/>
        </w:rPr>
        <w:t>11.1 Decisión metodológica</w:t>
      </w:r>
    </w:p>
    <w:p>
      <w:pPr>
        <w:spacing w:after="147"/>
        <w:jc w:val="both"/>
      </w:pPr>
      <w:r>
        <w:rPr>
          <w:color w:val="212121"/>
          <w:sz w:val="21"/>
        </w:rPr>
        <w:t xml:space="preserve">El primer pronóstico </w:t>
      </w:r>
      <w:r>
        <w:rPr>
          <w:b/>
          <w:color w:val="212121"/>
          <w:sz w:val="21"/>
        </w:rPr>
        <w:t>no usa LSTM</w:t>
      </w:r>
      <w:r>
        <w:rPr>
          <w:color w:val="212121"/>
          <w:sz w:val="21"/>
        </w:rPr>
        <w:t xml:space="preserve">. Usa métodos estadísticos simples, por tres razones: son explicables ante el profesor, son auditables —cada número se puede recalcular a mano—, y sobre todo </w:t>
      </w:r>
      <w:r>
        <w:rPr>
          <w:b/>
          <w:color w:val="212121"/>
          <w:sz w:val="21"/>
        </w:rPr>
        <w:t>se pueden medir</w:t>
      </w:r>
      <w:r>
        <w:rPr>
          <w:color w:val="212121"/>
          <w:sz w:val="21"/>
        </w:rPr>
        <w:t>. Un modelo complejo que no se mide es un pasivo, no un activo.</w:t>
      </w:r>
    </w:p>
    <w:p>
      <w:pPr>
        <w:spacing w:after="147"/>
        <w:jc w:val="both"/>
      </w:pPr>
      <w:r>
        <w:rPr>
          <w:color w:val="212121"/>
          <w:sz w:val="21"/>
        </w:rPr>
        <w:t xml:space="preserve">Los métodos disponibles son media móvil, media móvil ponderada y suavización exponencial. El método por defecto es </w:t>
      </w:r>
      <w:r>
        <w:rPr>
          <w:rFonts w:ascii="Consolas" w:hAnsi="Consolas"/>
          <w:color w:val="1A237E"/>
          <w:sz w:val="18"/>
        </w:rPr>
        <w:t>SUAVIZACION_EXPONENCIAL</w:t>
      </w:r>
      <w:r>
        <w:rPr>
          <w:color w:val="212121"/>
          <w:sz w:val="21"/>
        </w:rPr>
        <w:t xml:space="preserve"> con factor </w:t>
      </w:r>
      <w:r>
        <w:rPr>
          <w:rFonts w:ascii="Consolas" w:hAnsi="Consolas"/>
          <w:color w:val="1A237E"/>
          <w:sz w:val="18"/>
        </w:rPr>
        <w:t>alpha = 0.30</w:t>
      </w:r>
      <w:r>
        <w:rPr>
          <w:color w:val="212121"/>
          <w:sz w:val="21"/>
        </w:rPr>
        <w:t xml:space="preserve">, ambos parámetros configurables desde </w:t>
      </w:r>
      <w:r>
        <w:rPr>
          <w:rFonts w:ascii="Consolas" w:hAnsi="Consolas"/>
          <w:color w:val="1A237E"/>
          <w:sz w:val="18"/>
        </w:rPr>
        <w:t>analitica.configuracion</w:t>
      </w:r>
      <w:r>
        <w:rPr>
          <w:color w:val="212121"/>
          <w:sz w:val="21"/>
        </w:rPr>
        <w:t>.</w:t>
      </w:r>
    </w:p>
    <w:p>
      <w:pPr>
        <w:pStyle w:val="Heading3"/>
        <w:spacing w:before="220" w:after="154"/>
        <w:jc w:val="left"/>
      </w:pPr>
      <w:r>
        <w:rPr>
          <w:rFonts w:ascii="Segoe UI" w:hAnsi="Segoe UI"/>
          <w:b/>
          <w:color w:val="1A237E"/>
          <w:sz w:val="22"/>
        </w:rPr>
        <w:t>11.2 Cómo se construye el pronóstico</w:t>
      </w:r>
    </w:p>
    <w:p>
      <w:pPr>
        <w:spacing w:after="147"/>
        <w:jc w:val="both"/>
      </w:pPr>
      <w:r>
        <w:rPr>
          <w:color w:val="212121"/>
          <w:sz w:val="21"/>
        </w:rPr>
        <w:t xml:space="preserve">El pronóstico </w:t>
      </w:r>
      <w:r>
        <w:rPr>
          <w:b/>
          <w:color w:val="212121"/>
          <w:sz w:val="21"/>
        </w:rPr>
        <w:t>desestacionaliza por día de la semana</w:t>
      </w:r>
      <w:r>
        <w:rPr>
          <w:color w:val="212121"/>
          <w:sz w:val="21"/>
        </w:rPr>
        <w:t xml:space="preserve"> antes de promediar, porque la demanda de perecederos tiene un patrón semanal marcado y promediar sin corregirlo produce un sesgo sistemático.</w:t>
      </w:r>
    </w:p>
    <w:p>
      <w:pPr>
        <w:spacing w:after="147"/>
        <w:jc w:val="both"/>
      </w:pPr>
      <w:r>
        <w:rPr>
          <w:color w:val="212121"/>
          <w:sz w:val="21"/>
        </w:rPr>
        <w:t xml:space="preserve">El cálculo es obligatoriamente </w:t>
      </w:r>
      <w:r>
        <w:rPr>
          <w:b/>
          <w:color w:val="212121"/>
          <w:sz w:val="21"/>
        </w:rPr>
        <w:t>por tienda y por producto</w:t>
      </w:r>
      <w:r>
        <w:rPr>
          <w:color w:val="212121"/>
          <w:sz w:val="21"/>
        </w:rPr>
        <w:t xml:space="preserve">: cada serie es una combinación </w:t>
      </w:r>
      <w:r>
        <w:rPr>
          <w:rFonts w:ascii="Consolas" w:hAnsi="Consolas"/>
          <w:color w:val="1A237E"/>
          <w:sz w:val="18"/>
        </w:rPr>
        <w:t>(id_sku, id_locacion)</w:t>
      </w:r>
      <w:r>
        <w:rPr>
          <w:color w:val="212121"/>
          <w:sz w:val="21"/>
        </w:rPr>
        <w:t>. Una serie necesita al menos 14 días con ventas para ser pronosticable, umbral también configurable.</w:t>
      </w:r>
    </w:p>
    <w:p>
      <w:pPr>
        <w:spacing w:after="147"/>
        <w:jc w:val="both"/>
      </w:pPr>
      <w:r>
        <w:rPr>
          <w:color w:val="212121"/>
          <w:sz w:val="21"/>
        </w:rPr>
        <w:t xml:space="preserve">Cada corrida persiste en dos tablas: </w:t>
      </w:r>
      <w:r>
        <w:rPr>
          <w:rFonts w:ascii="Consolas" w:hAnsi="Consolas"/>
          <w:color w:val="1A237E"/>
          <w:sz w:val="18"/>
        </w:rPr>
        <w:t>analitica.forecast_run</w:t>
      </w:r>
      <w:r>
        <w:rPr>
          <w:color w:val="212121"/>
          <w:sz w:val="21"/>
        </w:rPr>
        <w:t xml:space="preserve"> con el método, los parámetros, el periodo, el horizonte, el usuario y las métricas globales, y </w:t>
      </w:r>
      <w:r>
        <w:rPr>
          <w:rFonts w:ascii="Consolas" w:hAnsi="Consolas"/>
          <w:color w:val="1A237E"/>
          <w:sz w:val="18"/>
        </w:rPr>
        <w:t>analitica.forecast_result</w:t>
      </w:r>
      <w:r>
        <w:rPr>
          <w:color w:val="212121"/>
          <w:sz w:val="21"/>
        </w:rPr>
        <w:t xml:space="preserve"> con el valor pronosticado, el valor real y el error absoluto de cada serie y cada día del horizonte.</w:t>
      </w:r>
    </w:p>
    <w:p>
      <w:pPr>
        <w:pStyle w:val="Heading3"/>
        <w:spacing w:before="220" w:after="154"/>
        <w:jc w:val="left"/>
      </w:pPr>
      <w:r>
        <w:rPr>
          <w:rFonts w:ascii="Segoe UI" w:hAnsi="Segoe UI"/>
          <w:b/>
          <w:color w:val="1A237E"/>
          <w:sz w:val="22"/>
        </w:rPr>
        <w:t>11.3 Medición del error</w:t>
      </w:r>
    </w:p>
    <w:p>
      <w:pPr>
        <w:spacing w:after="147"/>
        <w:jc w:val="both"/>
      </w:pPr>
      <w:r>
        <w:rPr>
          <w:color w:val="212121"/>
          <w:sz w:val="21"/>
        </w:rPr>
        <w:t xml:space="preserve">El sistema calcula tres métricas mediante validación hacia adelante: </w:t>
      </w:r>
      <w:r>
        <w:rPr>
          <w:b/>
          <w:color w:val="212121"/>
          <w:sz w:val="21"/>
        </w:rPr>
        <w:t>MAE</w:t>
      </w:r>
      <w:r>
        <w:rPr>
          <w:color w:val="212121"/>
          <w:sz w:val="21"/>
        </w:rPr>
        <w:t xml:space="preserve"> (error absoluto medio), </w:t>
      </w:r>
      <w:r>
        <w:rPr>
          <w:b/>
          <w:color w:val="212121"/>
          <w:sz w:val="21"/>
        </w:rPr>
        <w:t>RMSE</w:t>
      </w:r>
      <w:r>
        <w:rPr>
          <w:color w:val="212121"/>
          <w:sz w:val="21"/>
        </w:rPr>
        <w:t xml:space="preserve"> (raíz del error cuadrático medio) y </w:t>
      </w:r>
      <w:r>
        <w:rPr>
          <w:b/>
          <w:color w:val="212121"/>
          <w:sz w:val="21"/>
        </w:rPr>
        <w:t>WMAPE</w:t>
      </w:r>
      <w:r>
        <w:rPr>
          <w:color w:val="212121"/>
          <w:sz w:val="21"/>
        </w:rPr>
        <w:t xml:space="preserve"> (error porcentual absoluto ponderado por volumen).</w:t>
      </w:r>
    </w:p>
    <w:p>
      <w:pPr>
        <w:spacing w:after="147"/>
        <w:jc w:val="both"/>
      </w:pPr>
      <w:r>
        <w:rPr>
          <w:color w:val="212121"/>
          <w:sz w:val="21"/>
        </w:rPr>
        <w:t>La última corrida verificada produjo:</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Métrica</w:t>
            </w:r>
          </w:p>
        </w:tc>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Valor</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Método</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SUAVIZACION_EXPONENCIAL</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Series pronosticadas</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60</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Horizonte</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7 días</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Periodo de historia</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2026-05-31 a 2026-09-28</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MAE</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6.3049</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RMSE</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8.9633</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WMAPE</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11.4650 %</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Duración</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161 ms</w:t>
            </w:r>
          </w:p>
        </w:tc>
      </w:tr>
    </w:tbl>
    <w:p>
      <w:pPr>
        <w:spacing w:after="147"/>
        <w:jc w:val="both"/>
      </w:pPr>
      <w:r>
        <w:rPr>
          <w:color w:val="212121"/>
          <w:sz w:val="21"/>
        </w:rPr>
        <w:t>Leído en términos operativos, un WMAPE de 11.4650 % significa que por cada 100 unidades que se venderán, el pronóstico se desvía del orden de 11 unidades. Ese margen es la referencia para dimensionar el stock de seguridad: un colchón de dos días de demanda solo es suficiente si absorbe ese nivel de desviación.</w:t>
      </w:r>
    </w:p>
    <w:p>
      <w:pPr>
        <w:spacing w:after="147"/>
        <w:jc w:val="both"/>
      </w:pPr>
      <w:r>
        <w:rPr>
          <w:color w:val="212121"/>
          <w:sz w:val="21"/>
        </w:rPr>
        <w:t>El número no es una calificación decorativa —es el insumo que permite decidir si el colchón alcanza— y queda almacenado junto con la corrida que lo produjo, de modo que cualquier afirmación posterior sobre la calidad del pronóstico se pueda contrastar contra la corrida que la respalda.</w:t>
      </w:r>
    </w:p>
    <w:p>
      <w:bookmarkStart w:id="11" w:name="sec-12"/>
      <w:pPr>
        <w:pStyle w:val="Heading2"/>
        <w:spacing w:before="513" w:after="189"/>
        <w:jc w:val="left"/>
        <w:pBdr>
          <w:bottom w:val="single" w:sz="6" w:space="3" w:color="E0E0E0"/>
        </w:pBdr>
      </w:pPr>
      <w:bookmarkEnd w:id="11"/>
      <w:r>
        <w:rPr>
          <w:rFonts w:ascii="Segoe UI" w:hAnsi="Segoe UI"/>
          <w:b/>
          <w:color w:val="1565C0"/>
          <w:sz w:val="27"/>
        </w:rPr>
        <w:t>12. Reabastecimiento, transferencias y descuentos con aprobación humana</w:t>
      </w:r>
    </w:p>
    <w:p>
      <w:pPr>
        <w:spacing w:after="147"/>
        <w:jc w:val="both"/>
      </w:pPr>
      <w:r>
        <w:rPr>
          <w:color w:val="212121"/>
          <w:sz w:val="21"/>
        </w:rPr>
        <w:t>El reabastecimiento, las transferencias y los descuentos son las tres decisiones donde el sistema propone y una persona dispone.</w:t>
      </w:r>
    </w:p>
    <w:p>
      <w:pPr>
        <w:pStyle w:val="Heading3"/>
        <w:spacing w:before="220" w:after="154"/>
        <w:jc w:val="left"/>
      </w:pPr>
      <w:r>
        <w:rPr>
          <w:rFonts w:ascii="Segoe UI" w:hAnsi="Segoe UI"/>
          <w:b/>
          <w:color w:val="1A237E"/>
          <w:sz w:val="22"/>
        </w:rPr>
        <w:t>12.1 Cálculo de la necesidad neta</w:t>
      </w:r>
    </w:p>
    <w:p>
      <w:pPr>
        <w:spacing w:after="147"/>
        <w:jc w:val="both"/>
      </w:pPr>
      <w:r>
        <w:rPr>
          <w:color w:val="212121"/>
          <w:sz w:val="21"/>
        </w:rPr>
        <w:t>El motor de reabastecimiento no responde a la pregunta «¿cuánto vendí?» sino a «¿cuánto me falta para cubrir la demanda futura sin comprar de más?». La fórmula implementada es:</w:t>
      </w:r>
    </w:p>
    <w:p>
      <w:pPr>
        <w:jc w:val="left"/>
      </w:pPr>
      <w:r>
        <w:rPr>
          <w:rFonts w:ascii="Consolas" w:hAnsi="Consolas"/>
          <w:color w:val="212121"/>
          <w:sz w:val="18"/>
        </w:rPr>
        <w:t>necesidad_neta = demanda_pronosticada + stock_seguridad</w:t>
        <w:br/>
        <w:t xml:space="preserve">                 − inventario_útil − entradas_confirmadas</w:t>
      </w:r>
    </w:p>
    <w:p>
      <w:pPr>
        <w:spacing w:after="147"/>
        <w:jc w:val="both"/>
      </w:pPr>
      <w:r>
        <w:rPr>
          <w:color w:val="212121"/>
          <w:sz w:val="21"/>
        </w:rPr>
        <w:t>Cada término tiene una razón de ser:</w:t>
      </w:r>
    </w:p>
    <w:p>
      <w:pPr>
        <w:pStyle w:val="ListBullet"/>
        <w:spacing w:after="63"/>
        <w:jc w:val="left"/>
      </w:pPr>
      <w:r>
        <w:rPr>
          <w:b/>
          <w:color w:val="212121"/>
          <w:sz w:val="21"/>
        </w:rPr>
        <w:t>Demanda pronosticada</w:t>
      </w:r>
      <w:r>
        <w:rPr>
          <w:color w:val="212121"/>
          <w:sz w:val="21"/>
        </w:rPr>
        <w:t xml:space="preserve"> — el consumo esperado durante el horizonte, tomado de </w:t>
      </w:r>
      <w:r>
        <w:rPr>
          <w:rFonts w:ascii="Consolas" w:hAnsi="Consolas"/>
          <w:color w:val="1A237E"/>
          <w:sz w:val="18"/>
        </w:rPr>
        <w:t>analitica.forecast_result</w:t>
      </w:r>
      <w:r>
        <w:rPr>
          <w:color w:val="212121"/>
          <w:sz w:val="21"/>
        </w:rPr>
        <w:t>.</w:t>
      </w:r>
    </w:p>
    <w:p>
      <w:pPr>
        <w:pStyle w:val="ListBullet"/>
        <w:spacing w:after="63"/>
        <w:jc w:val="left"/>
      </w:pPr>
      <w:r>
        <w:rPr>
          <w:b/>
          <w:color w:val="212121"/>
          <w:sz w:val="21"/>
        </w:rPr>
        <w:t>Stock de seguridad</w:t>
      </w:r>
      <w:r>
        <w:rPr>
          <w:color w:val="212121"/>
          <w:sz w:val="21"/>
        </w:rPr>
        <w:t xml:space="preserve"> — un colchón de dos días de demanda, configurable.</w:t>
      </w:r>
    </w:p>
    <w:p>
      <w:pPr>
        <w:pStyle w:val="ListBullet"/>
        <w:spacing w:after="63"/>
        <w:jc w:val="left"/>
      </w:pPr>
      <w:r>
        <w:rPr>
          <w:b/>
          <w:color w:val="212121"/>
          <w:sz w:val="21"/>
        </w:rPr>
        <w:t>Inventario útil</w:t>
      </w:r>
      <w:r>
        <w:rPr>
          <w:color w:val="212121"/>
          <w:sz w:val="21"/>
        </w:rPr>
        <w:t xml:space="preserve"> — el inventario físico menos el que está en riesgo de vencerse, no el inventario físico completo.</w:t>
      </w:r>
    </w:p>
    <w:p>
      <w:pPr>
        <w:pStyle w:val="ListBullet"/>
        <w:spacing w:after="63"/>
        <w:jc w:val="left"/>
      </w:pPr>
      <w:r>
        <w:rPr>
          <w:b/>
          <w:color w:val="212121"/>
          <w:sz w:val="21"/>
        </w:rPr>
        <w:t>Entradas confirmadas</w:t>
      </w:r>
      <w:r>
        <w:rPr>
          <w:color w:val="212121"/>
          <w:sz w:val="21"/>
        </w:rPr>
        <w:t xml:space="preserve"> — lo que ya está pedido y por llegar. Omitirlo es el error clásico que hace que el sistema compre dos veces lo mismo.</w:t>
      </w:r>
    </w:p>
    <w:p>
      <w:pPr>
        <w:spacing w:after="147"/>
        <w:jc w:val="both"/>
      </w:pPr>
      <w:r>
        <w:rPr>
          <w:color w:val="212121"/>
          <w:sz w:val="21"/>
        </w:rPr>
        <w:t xml:space="preserve">Cuando la necesidad neta es positiva, el sistema la ajusta a la </w:t>
      </w:r>
      <w:r>
        <w:rPr>
          <w:b/>
          <w:color w:val="212121"/>
          <w:sz w:val="21"/>
        </w:rPr>
        <w:t>compra mínima del proveedor</w:t>
      </w:r>
      <w:r>
        <w:rPr>
          <w:color w:val="212121"/>
          <w:sz w:val="21"/>
        </w:rPr>
        <w:t xml:space="preserve"> (</w:t>
      </w:r>
      <w:r>
        <w:rPr>
          <w:rFonts w:ascii="Consolas" w:hAnsi="Consolas"/>
          <w:color w:val="1A237E"/>
          <w:sz w:val="18"/>
        </w:rPr>
        <w:t>moq</w:t>
      </w:r>
      <w:r>
        <w:rPr>
          <w:color w:val="212121"/>
          <w:sz w:val="21"/>
        </w:rPr>
        <w:t>) y la redondea hacia arriba; cuando es negativa o nula, no genera orden.</w:t>
      </w:r>
    </w:p>
    <w:p>
      <w:pPr>
        <w:spacing w:after="147"/>
        <w:jc w:val="both"/>
      </w:pPr>
      <w:r>
        <w:rPr>
          <w:color w:val="212121"/>
          <w:sz w:val="21"/>
        </w:rPr>
        <w:t xml:space="preserve">El sistema reporta además el </w:t>
      </w:r>
      <w:r>
        <w:rPr>
          <w:b/>
          <w:color w:val="212121"/>
          <w:sz w:val="21"/>
        </w:rPr>
        <w:t>tiempo de entrega</w:t>
      </w:r>
      <w:r>
        <w:rPr>
          <w:color w:val="212121"/>
          <w:sz w:val="21"/>
        </w:rPr>
        <w:t xml:space="preserve"> (</w:t>
      </w:r>
      <w:r>
        <w:rPr>
          <w:rFonts w:ascii="Consolas" w:hAnsi="Consolas"/>
          <w:color w:val="1A237E"/>
          <w:sz w:val="18"/>
        </w:rPr>
        <w:t>lead_time_dias</w:t>
      </w:r>
      <w:r>
        <w:rPr>
          <w:color w:val="212121"/>
          <w:sz w:val="21"/>
        </w:rPr>
        <w:t>) del proveedor, porque una necesidad que se cubre después de que el producto se agote no resuelve el problema.</w:t>
      </w:r>
    </w:p>
    <w:p>
      <w:pPr>
        <w:spacing w:after="147"/>
        <w:jc w:val="both"/>
      </w:pPr>
      <w:r>
        <w:rPr>
          <w:color w:val="212121"/>
          <w:sz w:val="21"/>
        </w:rPr>
        <w:t xml:space="preserve">Ambos atributos viven en </w:t>
      </w:r>
      <w:r>
        <w:rPr>
          <w:rFonts w:ascii="Consolas" w:hAnsi="Consolas"/>
          <w:color w:val="1A237E"/>
          <w:sz w:val="18"/>
        </w:rPr>
        <w:t>operacion.proveedor</w:t>
      </w:r>
      <w:r>
        <w:rPr>
          <w:color w:val="212121"/>
          <w:sz w:val="21"/>
        </w:rPr>
        <w:t xml:space="preserve"> y varían por proveedor. Los valores cargados en la base de referencia son:</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Proveedor</w:t>
            </w:r>
          </w:p>
        </w:tc>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Tiempo de entrega</w:t>
            </w:r>
          </w:p>
        </w:tc>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Compra mínima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Frutas del Bajío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 día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100 unidades</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Verduras Frescas del Rancho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 día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80 unidades</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Panificadora Artesanal</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 día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60 unidades</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Distribuidora Demo Avance 2</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 días</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60 unidades</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Lácteos del Norte</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3 días</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50 unidades</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Carnes Refrigeradas del Norte</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3 días</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40 unidades</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Abarrotes del Centro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5 días</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200 unidades</w:t>
            </w:r>
          </w:p>
        </w:tc>
      </w:tr>
    </w:tbl>
    <w:p>
      <w:pPr>
        <w:spacing w:after="147"/>
        <w:jc w:val="both"/>
      </w:pPr>
      <w:r>
        <w:rPr>
          <w:color w:val="212121"/>
          <w:sz w:val="21"/>
        </w:rPr>
        <w:t>La diferencia entre proveedores es la que obliga a que el cálculo sea por proveedor y no global: una necesidad de 55 unidades se convierte en un pedido de 100 si el proveedor es Frutas del Bajío, y en uno de 60 si es la Distribuidora Demo. Para el producto de demostración —cuya compra mínima es de 60 unidades y cuyo tiempo de entrega es de 2 días— una necesidad neta de 55 unidades se redondea a 60, y la orden solo tiene sentido si el producto no se agota en esos dos días.</w:t>
      </w:r>
    </w:p>
    <w:p>
      <w:pPr>
        <w:spacing w:after="147"/>
        <w:jc w:val="both"/>
      </w:pPr>
      <w:r>
        <w:rPr>
          <w:color w:val="212121"/>
          <w:sz w:val="21"/>
        </w:rPr>
        <w:t xml:space="preserve">La pantalla </w:t>
      </w:r>
      <w:r>
        <w:rPr>
          <w:rFonts w:ascii="Consolas" w:hAnsi="Consolas"/>
          <w:color w:val="1A237E"/>
          <w:sz w:val="18"/>
        </w:rPr>
        <w:t>/reabastecimiento</w:t>
      </w:r>
      <w:r>
        <w:rPr>
          <w:color w:val="212121"/>
          <w:sz w:val="21"/>
        </w:rPr>
        <w:t xml:space="preserve"> muestra el desglose completo de cada orden —demanda, stock de seguridad, inventario útil, entradas confirmadas y necesidad neta— de modo que el gerente que aprueba puede ver de dónde sale el número en lugar de aceptarlo por autoridad del sistema.</w:t>
      </w:r>
    </w:p>
    <w:p>
      <w:pPr>
        <w:pStyle w:val="Heading3"/>
        <w:spacing w:before="220" w:after="154"/>
        <w:jc w:val="left"/>
      </w:pPr>
      <w:r>
        <w:rPr>
          <w:rFonts w:ascii="Segoe UI" w:hAnsi="Segoe UI"/>
          <w:b/>
          <w:color w:val="1A237E"/>
          <w:sz w:val="22"/>
        </w:rPr>
        <w:t>12.2 Detección de sobreinventario y riesgo por lote</w:t>
      </w:r>
    </w:p>
    <w:p>
      <w:pPr>
        <w:spacing w:after="147"/>
        <w:jc w:val="both"/>
      </w:pPr>
      <w:r>
        <w:rPr>
          <w:color w:val="212121"/>
          <w:sz w:val="21"/>
        </w:rPr>
        <w:t>Dos análisis complementan al reabastecimiento y son, para este proyecto, más importantes que cualquier modelo de aprendizaje profundo:</w:t>
      </w:r>
    </w:p>
    <w:p>
      <w:pPr>
        <w:pStyle w:val="ListBullet"/>
        <w:spacing w:after="63"/>
        <w:jc w:val="left"/>
      </w:pPr>
      <w:r>
        <w:rPr>
          <w:b/>
          <w:color w:val="212121"/>
          <w:sz w:val="21"/>
        </w:rPr>
        <w:t>Sobreinventario.</w:t>
      </w:r>
      <w:r>
        <w:rPr>
          <w:color w:val="212121"/>
          <w:sz w:val="21"/>
        </w:rPr>
        <w:t xml:space="preserve"> Cuando la cobertura del inventario útil supera el umbral configurado —21 días por defecto— el sistema advierte que el producto dura menos de lo que tardaría en venderse, y por tanto que parte se va a vencer.</w:t>
      </w:r>
    </w:p>
    <w:p>
      <w:pPr>
        <w:pStyle w:val="ListBullet"/>
        <w:spacing w:after="63"/>
        <w:jc w:val="left"/>
      </w:pPr>
      <w:r>
        <w:rPr>
          <w:b/>
          <w:color w:val="212121"/>
          <w:sz w:val="21"/>
        </w:rPr>
        <w:t>Riesgo por lote.</w:t>
      </w:r>
      <w:r>
        <w:rPr>
          <w:color w:val="212121"/>
          <w:sz w:val="21"/>
        </w:rPr>
        <w:t xml:space="preserve"> Para cada lote con existencia, el motor estima cuánto probablemente no alcance a venderse antes de su caducidad. Es el insumo directo de las alertas de riesgo de merma y de las sugerencias de descuento y transferencia.</w:t>
      </w:r>
    </w:p>
    <w:p>
      <w:pPr>
        <w:pStyle w:val="Heading3"/>
        <w:spacing w:before="220" w:after="154"/>
        <w:jc w:val="left"/>
      </w:pPr>
      <w:r>
        <w:rPr>
          <w:rFonts w:ascii="Segoe UI" w:hAnsi="Segoe UI"/>
          <w:b/>
          <w:color w:val="1A237E"/>
          <w:sz w:val="22"/>
        </w:rPr>
        <w:t>12.3 Transferencias entre tiendas</w:t>
      </w:r>
    </w:p>
    <w:p>
      <w:pPr>
        <w:spacing w:after="147"/>
        <w:jc w:val="both"/>
      </w:pPr>
      <w:r>
        <w:rPr>
          <w:color w:val="212121"/>
          <w:sz w:val="21"/>
        </w:rPr>
        <w:t xml:space="preserve">Una transferencia mueve producto de donde sobra a donde falta. El motor de detección no aplica una regla simple: somete cada par origen-destino candidato a </w:t>
      </w:r>
      <w:r>
        <w:rPr>
          <w:b/>
          <w:color w:val="212121"/>
          <w:sz w:val="21"/>
        </w:rPr>
        <w:t>cuatro validaciones</w:t>
      </w:r>
      <w:r>
        <w:rPr>
          <w:color w:val="212121"/>
          <w:sz w:val="21"/>
        </w:rPr>
        <w:t>, y solo propone la transferencia si las cuatro se cumplen.</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w:t>
            </w:r>
          </w:p>
        </w:tc>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Validación</w:t>
            </w:r>
          </w:p>
        </w:tc>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Pregunta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Existencia en origen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¿La tienda de origen tiene suficiente excedente?</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Necesidad en destino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¿La tienda de destino realmente lo necesita?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3</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Vida útil suficiente</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¿El producto llega antes de caducar?</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4</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Capacidad de consumo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¿El destino alcanza a venderlo antes de que venza?</w:t>
            </w:r>
          </w:p>
        </w:tc>
      </w:tr>
    </w:tbl>
    <w:p>
      <w:pPr>
        <w:spacing w:after="147"/>
        <w:jc w:val="both"/>
      </w:pPr>
      <w:r>
        <w:rPr>
          <w:color w:val="212121"/>
          <w:sz w:val="21"/>
        </w:rPr>
        <w:t xml:space="preserve">El resultado de las cuatro validaciones se guarda en la columna </w:t>
      </w:r>
      <w:r>
        <w:rPr>
          <w:rFonts w:ascii="Consolas" w:hAnsi="Consolas"/>
          <w:color w:val="1A237E"/>
          <w:sz w:val="18"/>
        </w:rPr>
        <w:t>validaciones</w:t>
      </w:r>
      <w:r>
        <w:rPr>
          <w:color w:val="212121"/>
          <w:sz w:val="21"/>
        </w:rPr>
        <w:t xml:space="preserve"> de tipo </w:t>
      </w:r>
      <w:r>
        <w:rPr>
          <w:rFonts w:ascii="Consolas" w:hAnsi="Consolas"/>
          <w:color w:val="1A237E"/>
          <w:sz w:val="18"/>
        </w:rPr>
        <w:t>jsonb</w:t>
      </w:r>
      <w:r>
        <w:rPr>
          <w:color w:val="212121"/>
          <w:sz w:val="21"/>
        </w:rPr>
        <w:t>, lo que permite ver por qué se propuso —o por qué se descartó— cada par. La transferencia no se ejecuta sola: queda en estado pendiente hasta que una persona la aprueba, y solo entonces se descuentan existencias del origen e incrementan en el destino.</w:t>
      </w:r>
    </w:p>
    <w:p>
      <w:pPr>
        <w:spacing w:after="147"/>
        <w:jc w:val="both"/>
      </w:pPr>
      <w:r>
        <w:rPr>
          <w:color w:val="212121"/>
          <w:sz w:val="21"/>
        </w:rPr>
        <w:t>Un hallazgo relevante de las pruebas: al principio el motor no proponía ninguna transferencia. La causa no era un defecto de la detección sino de los datos de prueba.</w:t>
      </w:r>
    </w:p>
    <w:p>
      <w:pPr>
        <w:spacing w:after="147"/>
        <w:jc w:val="both"/>
      </w:pPr>
      <w:r>
        <w:rPr>
          <w:color w:val="212121"/>
          <w:sz w:val="21"/>
        </w:rPr>
        <w:t xml:space="preserve">El cálculo de excedente descuenta cinco días de demanda por lote, de modo que </w:t>
      </w:r>
      <w:r>
        <w:rPr>
          <w:b/>
          <w:color w:val="212121"/>
          <w:sz w:val="21"/>
        </w:rPr>
        <w:t>una sola recepción nunca produce excedente</w:t>
      </w:r>
      <w:r>
        <w:rPr>
          <w:color w:val="212121"/>
          <w:sz w:val="21"/>
        </w:rPr>
        <w:t>; y si la tienda de origen no vende el producto, todo su inventario cuenta como riesgo y su inventario útil es cero. La condición real para que exista un excedente transferible es que la tienda de origen venda el producto y tenga varias recepciones.</w:t>
      </w:r>
    </w:p>
    <w:p>
      <w:pPr>
        <w:pStyle w:val="Heading3"/>
        <w:spacing w:before="220" w:after="154"/>
        <w:jc w:val="left"/>
      </w:pPr>
      <w:r>
        <w:rPr>
          <w:rFonts w:ascii="Segoe UI" w:hAnsi="Segoe UI"/>
          <w:b/>
          <w:color w:val="1A237E"/>
          <w:sz w:val="22"/>
        </w:rPr>
        <w:t>12.4 Descuentos</w:t>
      </w:r>
    </w:p>
    <w:p>
      <w:pPr>
        <w:spacing w:after="147"/>
        <w:jc w:val="both"/>
      </w:pPr>
      <w:r>
        <w:rPr>
          <w:color w:val="212121"/>
          <w:sz w:val="21"/>
        </w:rPr>
        <w:t xml:space="preserve">Para lotes clasificados como </w:t>
      </w:r>
      <w:r>
        <w:rPr>
          <w:rFonts w:ascii="Consolas" w:hAnsi="Consolas"/>
          <w:color w:val="1A237E"/>
          <w:sz w:val="18"/>
        </w:rPr>
        <w:t>VIGILANCIA</w:t>
      </w:r>
      <w:r>
        <w:rPr>
          <w:color w:val="212121"/>
          <w:sz w:val="21"/>
        </w:rPr>
        <w:t xml:space="preserve"> o </w:t>
      </w:r>
      <w:r>
        <w:rPr>
          <w:rFonts w:ascii="Consolas" w:hAnsi="Consolas"/>
          <w:color w:val="1A237E"/>
          <w:sz w:val="18"/>
        </w:rPr>
        <w:t>CRITICO</w:t>
      </w:r>
      <w:r>
        <w:rPr>
          <w:color w:val="212121"/>
          <w:sz w:val="21"/>
        </w:rPr>
        <w:t xml:space="preserve">, el sistema sugiere un descuento con un porcentaje configurable —15 % y 30 % respectivamente— y calcula el ingreso potencial de venderlo con descuento frente a perderlo completo. La sugerencia </w:t>
      </w:r>
      <w:r>
        <w:rPr>
          <w:b/>
          <w:color w:val="212121"/>
          <w:sz w:val="21"/>
        </w:rPr>
        <w:t>no se aplica automáticamente</w:t>
      </w:r>
      <w:r>
        <w:rPr>
          <w:color w:val="212121"/>
          <w:sz w:val="21"/>
        </w:rPr>
        <w:t xml:space="preserve">: requiere aprobación humana, y la aprobación queda auditada como </w:t>
      </w:r>
      <w:r>
        <w:rPr>
          <w:rFonts w:ascii="Consolas" w:hAnsi="Consolas"/>
          <w:color w:val="1A237E"/>
          <w:sz w:val="18"/>
        </w:rPr>
        <w:t>APPROVE_DISCOUNT</w:t>
      </w:r>
      <w:r>
        <w:rPr>
          <w:color w:val="212121"/>
          <w:sz w:val="21"/>
        </w:rPr>
        <w:t>.</w:t>
      </w:r>
    </w:p>
    <w:p>
      <w:pPr>
        <w:pStyle w:val="Heading3"/>
        <w:spacing w:before="220" w:after="154"/>
        <w:jc w:val="left"/>
      </w:pPr>
      <w:r>
        <w:rPr>
          <w:rFonts w:ascii="Segoe UI" w:hAnsi="Segoe UI"/>
          <w:b/>
          <w:color w:val="1A237E"/>
          <w:sz w:val="22"/>
        </w:rPr>
        <w:t>12.5 Por qué la aprobación humana es un requisito y no una formalidad</w:t>
      </w:r>
    </w:p>
    <w:p>
      <w:pPr>
        <w:spacing w:after="147"/>
        <w:jc w:val="both"/>
      </w:pPr>
      <w:r>
        <w:rPr>
          <w:color w:val="212121"/>
          <w:sz w:val="21"/>
        </w:rPr>
        <w:t>Las tres decisiones —reabastecer, transferir y descontar— mueven dinero. El sistema propone porque puede procesar más información que una persona; la persona decide porque responde por el resultado. La separación se implementa en los hechos: el estado de una orden, una transferencia o un descuento no cambia sin un evento de aprobación registrado con el usuario que lo autorizó.</w:t>
      </w:r>
    </w:p>
    <w:p>
      <w:bookmarkStart w:id="12" w:name="sec-13"/>
      <w:pPr>
        <w:pStyle w:val="Heading2"/>
        <w:spacing w:before="513" w:after="189"/>
        <w:jc w:val="left"/>
        <w:pBdr>
          <w:bottom w:val="single" w:sz="6" w:space="3" w:color="E0E0E0"/>
        </w:pBdr>
      </w:pPr>
      <w:bookmarkEnd w:id="12"/>
      <w:r>
        <w:rPr>
          <w:rFonts w:ascii="Segoe UI" w:hAnsi="Segoe UI"/>
          <w:b/>
          <w:color w:val="1565C0"/>
          <w:sz w:val="27"/>
        </w:rPr>
        <w:t>13. Motor de alertas</w:t>
      </w:r>
    </w:p>
    <w:p>
      <w:pPr>
        <w:spacing w:after="147"/>
        <w:jc w:val="both"/>
      </w:pPr>
      <w:r>
        <w:rPr>
          <w:color w:val="212121"/>
          <w:sz w:val="21"/>
        </w:rPr>
        <w:t>El motor de alertas no almacena avisos: los deriva cada vez que se ejecuta, a partir del estado real de los datos.</w:t>
      </w:r>
    </w:p>
    <w:p>
      <w:pPr>
        <w:pStyle w:val="Heading3"/>
        <w:spacing w:before="220" w:after="154"/>
        <w:jc w:val="left"/>
      </w:pPr>
      <w:r>
        <w:rPr>
          <w:rFonts w:ascii="Segoe UI" w:hAnsi="Segoe UI"/>
          <w:b/>
          <w:color w:val="1A237E"/>
          <w:sz w:val="22"/>
        </w:rPr>
        <w:t>13.1 Las alertas se derivan, no se capturan</w:t>
      </w:r>
    </w:p>
    <w:p>
      <w:pPr>
        <w:spacing w:after="147"/>
        <w:jc w:val="both"/>
      </w:pPr>
      <w:r>
        <w:rPr>
          <w:color w:val="212121"/>
          <w:sz w:val="21"/>
        </w:rPr>
        <w:t xml:space="preserve">No existe una pantalla para crear alertas. El motor las recalcula cada vez que alguien entra a la pantalla o pulsa «Regenerar», aplicando reglas sobre el inventario, el pronóstico y las órdenes pendientes. Cada alerta lleva una </w:t>
      </w:r>
      <w:r>
        <w:rPr>
          <w:b/>
          <w:color w:val="212121"/>
          <w:sz w:val="21"/>
        </w:rPr>
        <w:t>huella</w:t>
      </w:r>
      <w:r>
        <w:rPr>
          <w:color w:val="212121"/>
          <w:sz w:val="21"/>
        </w:rPr>
        <w:t xml:space="preserve"> única y un índice único parcial sobre la huella mientras la alerta esté abierta, lo que impide duplicados sin impedir que una misma causa vuelva a alertar después de haberse cerrado.</w:t>
      </w:r>
    </w:p>
    <w:p>
      <w:pPr>
        <w:pStyle w:val="Heading3"/>
        <w:spacing w:before="220" w:after="154"/>
        <w:jc w:val="left"/>
      </w:pPr>
      <w:r>
        <w:rPr>
          <w:rFonts w:ascii="Segoe UI" w:hAnsi="Segoe UI"/>
          <w:b/>
          <w:color w:val="1A237E"/>
          <w:sz w:val="22"/>
        </w:rPr>
        <w:t>13.2 Los siete tipos</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Tipo</w:t>
            </w:r>
          </w:p>
        </w:tc>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Se dispara cuando</w:t>
            </w:r>
          </w:p>
        </w:tc>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Severidad</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LOTE_POR_VENCER</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Un lote con existencia está en vigilancia o crítico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Alta o media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LOTE_VENCIDO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Un lote con existencia ya caducó</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Crítica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RIESGO_DE_MERMA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Se estima que parte de un lote no alcanzará a venderse</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Alta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SOBREINVENTARIO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La cobertura útil supera el umbral de días</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Media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RIESGO_DE_FALTANTE</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La cobertura cae por debajo del stock de seguridad</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Alta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REABASTECIMIENTO_REQUERIDO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Existe una orden con necesidad neta positiva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Media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TRANSFERENCIA_SUGERIDA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Existe una transferencia propuesta y no decidida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Media</w:t>
            </w:r>
          </w:p>
        </w:tc>
      </w:tr>
    </w:tbl>
    <w:p>
      <w:pPr>
        <w:pStyle w:val="Heading3"/>
        <w:spacing w:before="220" w:after="154"/>
        <w:jc w:val="left"/>
      </w:pPr>
      <w:r>
        <w:rPr>
          <w:rFonts w:ascii="Segoe UI" w:hAnsi="Segoe UI"/>
          <w:b/>
          <w:color w:val="1A237E"/>
          <w:sz w:val="22"/>
        </w:rPr>
        <w:t>13.3 Un caso que obligó a revisar los datos de prueba</w:t>
      </w:r>
    </w:p>
    <w:p>
      <w:pPr>
        <w:spacing w:after="147"/>
        <w:jc w:val="both"/>
      </w:pPr>
      <w:r>
        <w:rPr>
          <w:color w:val="212121"/>
          <w:sz w:val="21"/>
        </w:rPr>
        <w:t>Durante la validación se detectó que solo cinco de los siete tipos llegaban a generarse. La revisión del motor descartó un defecto de implementación: los siete estaban correctamente programados y admitidos por la restricción de la tabla. La causa era la naturaleza de los datos.</w:t>
      </w:r>
    </w:p>
    <w:p>
      <w:pPr>
        <w:spacing w:after="147"/>
        <w:jc w:val="both"/>
      </w:pPr>
      <w:r>
        <w:rPr>
          <w:color w:val="212121"/>
          <w:sz w:val="21"/>
        </w:rPr>
        <w:t xml:space="preserve">Un almacén bien administrado no tiene lotes caducados con existencia, y por definición no tiene sobreinventario. </w:t>
      </w:r>
      <w:r>
        <w:rPr>
          <w:rFonts w:ascii="Consolas" w:hAnsi="Consolas"/>
          <w:color w:val="1A237E"/>
          <w:sz w:val="18"/>
        </w:rPr>
        <w:t>LOTE_VENCIDO</w:t>
      </w:r>
      <w:r>
        <w:rPr>
          <w:color w:val="212121"/>
          <w:sz w:val="21"/>
        </w:rPr>
        <w:t xml:space="preserve"> exige un lote cuya fecha de caducidad ya pasó y que todavía conserva unidades; </w:t>
      </w:r>
      <w:r>
        <w:rPr>
          <w:rFonts w:ascii="Consolas" w:hAnsi="Consolas"/>
          <w:color w:val="1A237E"/>
          <w:sz w:val="18"/>
        </w:rPr>
        <w:t>SOBREINVENTARIO</w:t>
      </w:r>
      <w:r>
        <w:rPr>
          <w:color w:val="212121"/>
          <w:sz w:val="21"/>
        </w:rPr>
        <w:t xml:space="preserve"> exige una cobertura que supera el umbral. Ninguna de las dos condiciones se cumple en una operación sana, y ninguna se puede provocar creando una recepción nueva, porque el sistema —correctamente— impide recibir mercancía ya caducada.</w:t>
      </w:r>
    </w:p>
    <w:p>
      <w:pPr>
        <w:spacing w:after="147"/>
        <w:jc w:val="both"/>
      </w:pPr>
      <w:r>
        <w:rPr>
          <w:color w:val="212121"/>
          <w:sz w:val="21"/>
        </w:rPr>
        <w:t xml:space="preserve">La solución adoptada fue incorporar al guion de demostración un paso que carga los dos casos extremos mediante </w:t>
      </w:r>
      <w:r>
        <w:rPr>
          <w:b/>
          <w:color w:val="212121"/>
          <w:sz w:val="21"/>
        </w:rPr>
        <w:t>recepciones históricas reales</w:t>
      </w:r>
      <w:r>
        <w:rPr>
          <w:color w:val="212121"/>
          <w:sz w:val="21"/>
        </w:rPr>
        <w:t>: un lote recibido hace veinte días y caducado hace tres, y tres recepciones adicionales en una tienda con demanda insuficiente para absorberlas. Las alertas no se inyectan: las deriva el motor a partir de esos datos. El paso 17 del guion verifica que los siete tipos aparezcan, y en la corrida de referencia se generaron 108 alertas abiertas.</w:t>
      </w:r>
    </w:p>
    <w:p>
      <w:bookmarkStart w:id="13" w:name="sec-14"/>
      <w:pPr>
        <w:pStyle w:val="Heading2"/>
        <w:spacing w:before="513" w:after="189"/>
        <w:jc w:val="left"/>
        <w:pBdr>
          <w:bottom w:val="single" w:sz="6" w:space="3" w:color="E0E0E0"/>
        </w:pBdr>
      </w:pPr>
      <w:bookmarkEnd w:id="13"/>
      <w:r>
        <w:rPr>
          <w:rFonts w:ascii="Segoe UI" w:hAnsi="Segoe UI"/>
          <w:b/>
          <w:color w:val="1565C0"/>
          <w:sz w:val="27"/>
        </w:rPr>
        <w:t>14. Panel de negocio, desperdicio evitado y auditoría</w:t>
      </w:r>
    </w:p>
    <w:p>
      <w:pPr>
        <w:spacing w:after="147"/>
        <w:jc w:val="both"/>
      </w:pPr>
      <w:r>
        <w:rPr>
          <w:color w:val="212121"/>
          <w:sz w:val="21"/>
        </w:rPr>
        <w:t>El panel reúne los indicadores que resumen la operación, y la auditoría registra quién hizo qué para llegar a ellos.</w:t>
      </w:r>
    </w:p>
    <w:p>
      <w:pPr>
        <w:pStyle w:val="Heading3"/>
        <w:spacing w:before="220" w:after="154"/>
        <w:jc w:val="left"/>
      </w:pPr>
      <w:r>
        <w:rPr>
          <w:rFonts w:ascii="Segoe UI" w:hAnsi="Segoe UI"/>
          <w:b/>
          <w:color w:val="1A237E"/>
          <w:sz w:val="22"/>
        </w:rPr>
        <w:t>14.1 Panel de control</w:t>
      </w:r>
    </w:p>
    <w:p>
      <w:pPr>
        <w:spacing w:after="147"/>
        <w:jc w:val="both"/>
      </w:pPr>
      <w:r>
        <w:rPr>
          <w:color w:val="212121"/>
          <w:sz w:val="21"/>
        </w:rPr>
        <w:t xml:space="preserve">La pantalla </w:t>
      </w:r>
      <w:r>
        <w:rPr>
          <w:rFonts w:ascii="Consolas" w:hAnsi="Consolas"/>
          <w:color w:val="1A237E"/>
          <w:sz w:val="18"/>
        </w:rPr>
        <w:t>/panel</w:t>
      </w:r>
      <w:r>
        <w:rPr>
          <w:color w:val="212121"/>
          <w:sz w:val="21"/>
        </w:rPr>
        <w:t xml:space="preserve"> presenta los indicadores de negocio calculados contra PostgreSQL. En la última verificación mostraba:</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Indicador</w:t>
            </w:r>
          </w:p>
        </w:tc>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Valor</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Unidades de inventario</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12 116.86</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Unidades vendidas (histórico)</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530 183.39</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Unidades mermadas (histórico)</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7 924.54</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Órdenes de reabastecimiento</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75</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Transferencias ejecutadas</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6</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Alertas abiertas</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108</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Corridas de pronóstico completadas</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19</w:t>
            </w:r>
          </w:p>
        </w:tc>
      </w:tr>
    </w:tbl>
    <w:p>
      <w:pPr>
        <w:spacing w:after="147"/>
        <w:jc w:val="both"/>
      </w:pPr>
      <w:r>
        <w:rPr>
          <w:color w:val="212121"/>
          <w:sz w:val="21"/>
        </w:rPr>
        <w:t>Las cifras anteriores se obtuvieron por consulta directa a PostgreSQL el 28 de septiembre de 2026, al cierre del escenario de demostración; no son valores de referencia escritos a mano. Crecen con cada ejecución del guion, de modo que un lector que reproduzca los comandos verá números iguales o mayores.</w:t>
      </w:r>
    </w:p>
    <w:p>
      <w:pPr>
        <w:spacing w:after="147"/>
        <w:jc w:val="both"/>
      </w:pPr>
      <w:r>
        <w:rPr>
          <w:color w:val="212121"/>
          <w:sz w:val="21"/>
        </w:rPr>
        <w:t>Complementan al panel las pantallas de sostenibilidad y de desperdicio evitado, y la pantalla de configuración, que expone los 12 parámetros de negocio:</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Parámetro</w:t>
            </w:r>
          </w:p>
        </w:tc>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Valor</w:t>
            </w:r>
          </w:p>
        </w:tc>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Efecto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metodo_pronostico_default</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SUAVIZACION_EXPONENCIAL</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Método usado si no se especifica otro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alpha_suavizacion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0.30</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Peso del dato más reciente</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ventana_media_movil</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28</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Días de historia de la media móvil</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horizonte_pronostico_dias</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7</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Días que se pronostican</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min_dias_historia_pronostico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14</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Mínimo de días con ventas para pronosticar</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dias_ventana_riesgo_lote</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5</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Días de demanda que se consideran seguros por lote</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umbral_sobreinventario_dias</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21</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Cobertura a partir de la cual hay sobreinventario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cobertura_stock_seguridad_dias</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Días que cubre el stock de seguridad</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descuento_pct_vigilancia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15</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Descuento sugerido en vigilancia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descuento_pct_critico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30</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Descuento sugerido en crítico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max_intentos_login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5</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Intentos antes de bloquear la cuenta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jwt_horas_vigencia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8</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Vigencia del token</w:t>
            </w:r>
          </w:p>
        </w:tc>
      </w:tr>
    </w:tbl>
    <w:p>
      <w:pPr>
        <w:pStyle w:val="Heading3"/>
        <w:spacing w:before="220" w:after="154"/>
        <w:jc w:val="left"/>
      </w:pPr>
      <w:r>
        <w:rPr>
          <w:rFonts w:ascii="Segoe UI" w:hAnsi="Segoe UI"/>
          <w:b/>
          <w:color w:val="1A237E"/>
          <w:sz w:val="22"/>
        </w:rPr>
        <w:t>14.2 Desperdicio evitado y su metodología</w:t>
      </w:r>
    </w:p>
    <w:p>
      <w:pPr>
        <w:spacing w:after="147"/>
        <w:jc w:val="both"/>
      </w:pPr>
      <w:r>
        <w:rPr>
          <w:color w:val="212121"/>
          <w:sz w:val="21"/>
        </w:rPr>
        <w:t xml:space="preserve">El indicador de desperdicio evitado registra el valor del producto que </w:t>
      </w:r>
      <w:r>
        <w:rPr>
          <w:b/>
          <w:color w:val="212121"/>
          <w:sz w:val="21"/>
        </w:rPr>
        <w:t>no</w:t>
      </w:r>
      <w:r>
        <w:rPr>
          <w:color w:val="212121"/>
          <w:sz w:val="21"/>
        </w:rPr>
        <w:t xml:space="preserve"> se perdió gracias a una acción del sistema: una transferencia que colocó el excedente donde había demanda, o un descuento que liquidó un lote antes de que caducara.</w:t>
      </w:r>
    </w:p>
    <w:p>
      <w:pPr>
        <w:spacing w:after="147"/>
        <w:jc w:val="both"/>
      </w:pPr>
      <w:r>
        <w:rPr>
          <w:color w:val="212121"/>
          <w:sz w:val="21"/>
        </w:rPr>
        <w:t>La parte crítica no es el número sino la metodología, que queda almacenada junto al registro. Cada entrada documenta qué acción la originó, qué cantidad se movió, a qué precio y con qué supuesto de venta. Un ahorro sin metodología explícita es una cifra decorativa; con metodología, es una afirmación que el profesor puede refutar.</w:t>
      </w:r>
    </w:p>
    <w:p>
      <w:pPr>
        <w:pStyle w:val="Heading3"/>
        <w:spacing w:before="220" w:after="154"/>
        <w:jc w:val="left"/>
      </w:pPr>
      <w:r>
        <w:rPr>
          <w:rFonts w:ascii="Segoe UI" w:hAnsi="Segoe UI"/>
          <w:b/>
          <w:color w:val="1A237E"/>
          <w:sz w:val="22"/>
        </w:rPr>
        <w:t>14.3 Auditoría</w:t>
      </w:r>
    </w:p>
    <w:p>
      <w:pPr>
        <w:spacing w:after="147"/>
        <w:jc w:val="both"/>
      </w:pPr>
      <w:r>
        <w:rPr>
          <w:color w:val="212121"/>
          <w:sz w:val="21"/>
        </w:rPr>
        <w:t xml:space="preserve">La bitácora </w:t>
      </w:r>
      <w:r>
        <w:rPr>
          <w:rFonts w:ascii="Consolas" w:hAnsi="Consolas"/>
          <w:color w:val="1A237E"/>
          <w:sz w:val="18"/>
        </w:rPr>
        <w:t>auditoria.bitacora_eventos</w:t>
      </w:r>
      <w:r>
        <w:rPr>
          <w:color w:val="212121"/>
          <w:sz w:val="21"/>
        </w:rPr>
        <w:t xml:space="preserve"> se puebla por dos vías complementarias: </w:t>
      </w:r>
      <w:r>
        <w:rPr>
          <w:b/>
          <w:color w:val="212121"/>
          <w:sz w:val="21"/>
        </w:rPr>
        <w:t>disparadores por fila</w:t>
      </w:r>
      <w:r>
        <w:rPr>
          <w:color w:val="212121"/>
          <w:sz w:val="21"/>
        </w:rPr>
        <w:t xml:space="preserve"> que registran el estado anterior y el nuevo en formato </w:t>
      </w:r>
      <w:r>
        <w:rPr>
          <w:rFonts w:ascii="Consolas" w:hAnsi="Consolas"/>
          <w:color w:val="1A237E"/>
          <w:sz w:val="18"/>
        </w:rPr>
        <w:t>jsonb</w:t>
      </w:r>
      <w:r>
        <w:rPr>
          <w:color w:val="212121"/>
          <w:sz w:val="21"/>
        </w:rPr>
        <w:t xml:space="preserve"> para los cambios de datos, y el </w:t>
      </w:r>
      <w:r>
        <w:rPr>
          <w:b/>
          <w:color w:val="212121"/>
          <w:sz w:val="21"/>
        </w:rPr>
        <w:t>módulo de auditoría de la aplicación</w:t>
      </w:r>
      <w:r>
        <w:rPr>
          <w:color w:val="212121"/>
          <w:sz w:val="21"/>
        </w:rPr>
        <w:t xml:space="preserve"> para las acciones que no corresponden a una fila única —un inicio de sesión, una ejecución de pronóstico, una aprobación—.</w:t>
      </w:r>
    </w:p>
    <w:p>
      <w:pPr>
        <w:spacing w:after="147"/>
        <w:jc w:val="both"/>
      </w:pPr>
      <w:r>
        <w:rPr>
          <w:color w:val="212121"/>
          <w:sz w:val="21"/>
        </w:rPr>
        <w:t xml:space="preserve">La bitácora es </w:t>
      </w:r>
      <w:r>
        <w:rPr>
          <w:b/>
          <w:color w:val="212121"/>
          <w:sz w:val="21"/>
        </w:rPr>
        <w:t>inmutable por diseño</w:t>
      </w:r>
      <w:r>
        <w:rPr>
          <w:color w:val="212121"/>
          <w:sz w:val="21"/>
        </w:rPr>
        <w:t xml:space="preserve">: un disparador </w:t>
      </w:r>
      <w:r>
        <w:rPr>
          <w:rFonts w:ascii="Consolas" w:hAnsi="Consolas"/>
          <w:color w:val="1A237E"/>
          <w:sz w:val="18"/>
        </w:rPr>
        <w:t>trg_proteger_bitacora</w:t>
      </w:r>
      <w:r>
        <w:rPr>
          <w:color w:val="212121"/>
          <w:sz w:val="21"/>
        </w:rPr>
        <w:t xml:space="preserve"> bloquea cualquier </w:t>
      </w:r>
      <w:r>
        <w:rPr>
          <w:rFonts w:ascii="Consolas" w:hAnsi="Consolas"/>
          <w:color w:val="1A237E"/>
          <w:sz w:val="18"/>
        </w:rPr>
        <w:t>UPDATE</w:t>
      </w:r>
      <w:r>
        <w:rPr>
          <w:color w:val="212121"/>
          <w:sz w:val="21"/>
        </w:rPr>
        <w:t xml:space="preserve"> o </w:t>
      </w:r>
      <w:r>
        <w:rPr>
          <w:rFonts w:ascii="Consolas" w:hAnsi="Consolas"/>
          <w:color w:val="1A237E"/>
          <w:sz w:val="18"/>
        </w:rPr>
        <w:t>DELETE</w:t>
      </w:r>
      <w:r>
        <w:rPr>
          <w:color w:val="212121"/>
          <w:sz w:val="21"/>
        </w:rPr>
        <w:t>. La única forma de escribir en ella es insertar.</w:t>
      </w:r>
    </w:p>
    <w:p>
      <w:pPr>
        <w:spacing w:after="147"/>
        <w:jc w:val="both"/>
      </w:pPr>
      <w:r>
        <w:rPr>
          <w:color w:val="212121"/>
          <w:sz w:val="21"/>
        </w:rPr>
        <w:t>Las acciones exigidas por la rúbrica están todas presentes, con estos conteos en la base de referencia:</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Acción</w:t>
            </w:r>
          </w:p>
        </w:tc>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Registros</w:t>
            </w:r>
          </w:p>
        </w:tc>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Acción</w:t>
            </w:r>
          </w:p>
        </w:tc>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Registros</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LOGIN</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194</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CREATE_TRANSFER</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24</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LOGOUT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170</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APPROVE_TRANSFER</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12</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LOGIN_FALLIDO</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EXECUTE_TRANSFER</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11</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CREATE_PRODUCT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47</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CREATE_DISCOUNT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50</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UPDATE_PRODUCT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52</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APPROVE_DISCOUNT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13</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ACTIVATE_PRODUCT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13</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RUN_FORECAST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17</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DEACTIVATE_PRODUCT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13</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RUN_ALERTS</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51</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CREATE_SUPPLIER</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41</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CREATE_REPLENISHMENT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88</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CREATE_LOCATION</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42</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APPROVE_REPLENISHMENT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13</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CREATE_BATCH</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63</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REJECT_REPLENISHMENT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13</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RECEIVE_INVENTORY</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63</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REGISTER_SALE</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22</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REGISTER_SHRINKAGE</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17</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CREATE_USER</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9</w:t>
            </w:r>
          </w:p>
        </w:tc>
      </w:tr>
    </w:tbl>
    <w:p>
      <w:pPr>
        <w:spacing w:after="147"/>
        <w:jc w:val="both"/>
      </w:pPr>
      <w:r>
        <w:rPr>
          <w:color w:val="212121"/>
          <w:sz w:val="21"/>
        </w:rPr>
        <w:t xml:space="preserve">En total la bitácora contiene </w:t>
      </w:r>
      <w:r>
        <w:rPr>
          <w:b/>
          <w:color w:val="212121"/>
          <w:sz w:val="21"/>
        </w:rPr>
        <w:t>8 245 eventos</w:t>
      </w:r>
      <w:r>
        <w:rPr>
          <w:color w:val="212121"/>
          <w:sz w:val="21"/>
        </w:rPr>
        <w:t xml:space="preserve"> y </w:t>
      </w:r>
      <w:r>
        <w:rPr>
          <w:b/>
          <w:color w:val="212121"/>
          <w:sz w:val="21"/>
        </w:rPr>
        <w:t>49 acciones distintas</w:t>
      </w:r>
      <w:r>
        <w:rPr>
          <w:color w:val="212121"/>
          <w:sz w:val="21"/>
        </w:rPr>
        <w:t>.</w:t>
      </w:r>
    </w:p>
    <w:p>
      <w:pPr>
        <w:spacing w:after="147"/>
        <w:jc w:val="both"/>
      </w:pPr>
      <w:r>
        <w:rPr>
          <w:color w:val="212121"/>
          <w:sz w:val="21"/>
        </w:rPr>
        <w:t xml:space="preserve">La pantalla </w:t>
      </w:r>
      <w:r>
        <w:rPr>
          <w:rFonts w:ascii="Consolas" w:hAnsi="Consolas"/>
          <w:color w:val="1A237E"/>
          <w:sz w:val="18"/>
        </w:rPr>
        <w:t>/auditoria</w:t>
      </w:r>
      <w:r>
        <w:rPr>
          <w:color w:val="212121"/>
          <w:sz w:val="21"/>
        </w:rPr>
        <w:t xml:space="preserve"> consulta esa tabla y permite filtrar por acción, usuario y fecha, de modo que la auditoría no es solo un mecanismo de escritura sino una capacidad de consulta verificable.</w:t>
      </w:r>
    </w:p>
    <w:p>
      <w:bookmarkStart w:id="14" w:name="sec-15"/>
      <w:pPr>
        <w:pStyle w:val="Heading2"/>
        <w:spacing w:before="513" w:after="189"/>
        <w:jc w:val="left"/>
        <w:pBdr>
          <w:bottom w:val="single" w:sz="6" w:space="3" w:color="E0E0E0"/>
        </w:pBdr>
      </w:pPr>
      <w:bookmarkEnd w:id="14"/>
      <w:r>
        <w:rPr>
          <w:rFonts w:ascii="Segoe UI" w:hAnsi="Segoe UI"/>
          <w:b/>
          <w:color w:val="1565C0"/>
          <w:sz w:val="27"/>
        </w:rPr>
        <w:t>15. Evidencia de funcionamiento</w:t>
      </w:r>
    </w:p>
    <w:p>
      <w:pPr>
        <w:spacing w:after="147"/>
        <w:jc w:val="both"/>
      </w:pPr>
      <w:r>
        <w:rPr>
          <w:color w:val="212121"/>
          <w:sz w:val="21"/>
        </w:rPr>
        <w:t>Esta sección reúne las herramientas con las que se comprobó el sistema, y el defecto de fondo que esa comprobación reveló.</w:t>
      </w:r>
    </w:p>
    <w:p>
      <w:pPr>
        <w:pStyle w:val="Heading3"/>
        <w:spacing w:before="220" w:after="154"/>
        <w:jc w:val="left"/>
      </w:pPr>
      <w:r>
        <w:rPr>
          <w:rFonts w:ascii="Segoe UI" w:hAnsi="Segoe UI"/>
          <w:b/>
          <w:color w:val="1A237E"/>
          <w:sz w:val="22"/>
        </w:rPr>
        <w:t>15.1 Guion de demostración extremo a extremo</w:t>
      </w:r>
    </w:p>
    <w:p>
      <w:pPr>
        <w:spacing w:after="147"/>
        <w:jc w:val="both"/>
      </w:pPr>
      <w:r>
        <w:rPr>
          <w:color w:val="212121"/>
          <w:sz w:val="21"/>
        </w:rPr>
        <w:t xml:space="preserve">El script </w:t>
      </w:r>
      <w:r>
        <w:rPr>
          <w:rFonts w:ascii="Consolas" w:hAnsi="Consolas"/>
          <w:color w:val="1A237E"/>
          <w:sz w:val="18"/>
        </w:rPr>
        <w:t>scripts/demo_avance2.py</w:t>
      </w:r>
      <w:r>
        <w:rPr>
          <w:color w:val="212121"/>
          <w:sz w:val="21"/>
        </w:rPr>
        <w:t xml:space="preserve"> recorre el sistema completo </w:t>
      </w:r>
      <w:r>
        <w:rPr>
          <w:b/>
          <w:color w:val="212121"/>
          <w:sz w:val="21"/>
        </w:rPr>
        <w:t>a través de la capa HTTP real</w:t>
      </w:r>
      <w:r>
        <w:rPr>
          <w:color w:val="212121"/>
          <w:sz w:val="21"/>
        </w:rPr>
        <w:t xml:space="preserve">, usando el cliente de pruebas de Flask. No manipula la base directamente: inicia sesión, envía formularios y sigue redirecciones, exactamente como lo haría un usuario. Tras cada paso, </w:t>
      </w:r>
      <w:r>
        <w:rPr>
          <w:b/>
          <w:color w:val="212121"/>
          <w:sz w:val="21"/>
        </w:rPr>
        <w:t>consulta la base y compara</w:t>
      </w:r>
      <w:r>
        <w:rPr>
          <w:color w:val="212121"/>
          <w:sz w:val="21"/>
        </w:rPr>
        <w:t>; si un paso no escribe lo que debía, el script lo reporta como fallo y termina con código de salida distinto de cero.</w:t>
      </w:r>
    </w:p>
    <w:p>
      <w:pPr>
        <w:spacing w:after="147"/>
        <w:jc w:val="both"/>
      </w:pPr>
      <w:r>
        <w:rPr>
          <w:color w:val="212121"/>
          <w:sz w:val="21"/>
        </w:rPr>
        <w:t xml:space="preserve">El guion consta de </w:t>
      </w:r>
      <w:r>
        <w:rPr>
          <w:b/>
          <w:color w:val="212121"/>
          <w:sz w:val="21"/>
        </w:rPr>
        <w:t>20 pasos</w:t>
      </w:r>
      <w:r>
        <w:rPr>
          <w:color w:val="212121"/>
          <w:sz w:val="21"/>
        </w:rPr>
        <w:t>:</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w:t>
            </w:r>
          </w:p>
        </w:tc>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Paso</w:t>
            </w:r>
          </w:p>
        </w:tc>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Qué comprueba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01</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El administrador inicia sesión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 xml:space="preserve">Login contra PostgreSQL y evento </w:t>
            </w:r>
            <w:r>
              <w:rPr>
                <w:rFonts w:ascii="Consolas" w:hAnsi="Consolas"/>
                <w:color w:val="212121"/>
                <w:sz w:val="18"/>
              </w:rPr>
              <w:t>LOGIN</w:t>
            </w:r>
            <w:r>
              <w:rPr>
                <w:color w:val="212121"/>
                <w:sz w:val="18"/>
              </w:rPr>
              <w:t xml:space="preserve"> en la bitácora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02</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Alta de un proveedor</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 xml:space="preserve">Inserción real en </w:t>
            </w:r>
            <w:r>
              <w:rPr>
                <w:rFonts w:ascii="Consolas" w:hAnsi="Consolas"/>
                <w:color w:val="212121"/>
                <w:sz w:val="18"/>
              </w:rPr>
              <w:t>operacion.proveedor</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03</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Alta de un producto ligado al proveedor</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Inserción real y generación de GTIN</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04</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Edición, desactivación y reactivación del producto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 xml:space="preserve">CRUD completo y </w:t>
            </w:r>
            <w:r>
              <w:rPr>
                <w:rFonts w:ascii="Consolas" w:hAnsi="Consolas"/>
                <w:color w:val="212121"/>
                <w:sz w:val="18"/>
              </w:rPr>
              <w:t>UPDATE_PRODUCT</w:t>
            </w:r>
            <w:r>
              <w:rPr>
                <w:color w:val="212121"/>
                <w:sz w:val="18"/>
              </w:rPr>
              <w:t xml:space="preserve"> auditado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05</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Alta de una tienda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 xml:space="preserve">Inserción real en </w:t>
            </w:r>
            <w:r>
              <w:rPr>
                <w:rFonts w:ascii="Consolas" w:hAnsi="Consolas"/>
                <w:color w:val="212121"/>
                <w:sz w:val="18"/>
              </w:rPr>
              <w:t>operacion.locacion</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06</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Dos recepciones del mismo producto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Lote, existencia y kardex</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07</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Cálculo de vida útil y clasificación de riesgo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Lote crítico y lote normal, con umbrales de la tabla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08</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Venta de 70 unidades</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FEFO consume primero el lote que caduca antes</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09</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Ejecución del pronóstico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Corrida persistida con sus métricas de error</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10</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Cálculo del reabastecimiento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La necesidad neta cuadra con la fórmula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11</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Aprobación y rechazo de órdenes</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Decisión humana auditada</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12</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Transferencia entre tiendas</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Cuatro validaciones y ejecución con descuento e incremento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13</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Aprobación y ejecución de la transferencia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Movimiento real de existencias</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14</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Descuento con aprobación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 xml:space="preserve">Precio resultante y </w:t>
            </w:r>
            <w:r>
              <w:rPr>
                <w:rFonts w:ascii="Consolas" w:hAnsi="Consolas"/>
                <w:color w:val="212121"/>
                <w:sz w:val="18"/>
              </w:rPr>
              <w:t>APPROVE_DISCOUNT</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15</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Registro de una merma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Descuento de existencia y rechazo de la merma imposible</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16</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Carga de los casos extremos</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Lote vencido y sobreinventario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17</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Generación de alertas</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Los siete tipos presentes</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18</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Panel de control</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Indicadores contra la base</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19</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Trazabilidad del lote</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Kardex reconstruye la aritmética del lote</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20</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API JSON con JWT</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Cuatro endpoints con token y rechazo sin token</w:t>
            </w:r>
          </w:p>
        </w:tc>
      </w:tr>
    </w:tbl>
    <w:p>
      <w:pPr>
        <w:spacing w:after="147"/>
        <w:jc w:val="both"/>
      </w:pPr>
      <w:r>
        <w:rPr>
          <w:color w:val="212121"/>
          <w:sz w:val="21"/>
        </w:rPr>
        <w:t xml:space="preserve">Resultado de la última ejecución completa: </w:t>
      </w:r>
      <w:r>
        <w:rPr>
          <w:b/>
          <w:color w:val="212121"/>
          <w:sz w:val="21"/>
        </w:rPr>
        <w:t>20 pasos, 61 comprobaciones, 0 fallos</w:t>
      </w:r>
      <w:r>
        <w:rPr>
          <w:color w:val="212121"/>
          <w:sz w:val="21"/>
        </w:rPr>
        <w:t>. El script termina con código de salida cero solo si ninguna comprobación falla.</w:t>
      </w:r>
    </w:p>
    <w:p>
      <w:pPr>
        <w:spacing w:after="147"/>
        <w:jc w:val="both"/>
      </w:pPr>
      <w:r>
        <w:rPr>
          <w:color w:val="212121"/>
          <w:sz w:val="21"/>
        </w:rPr>
        <w:t>A esas 61 comprobaciones se suman las de las otras dos herramientas de verificación:</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Herramienta</w:t>
            </w:r>
          </w:p>
        </w:tc>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Comprobaciones</w:t>
            </w:r>
          </w:p>
        </w:tc>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Resultado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demo_avance2.py --escenario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61</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0 fallos</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demo_avance2.py --verificar</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5</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0 fallos</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smoke_rutas.py</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73 pantallas</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0 fallos</w:t>
            </w:r>
          </w:p>
        </w:tc>
      </w:tr>
    </w:tbl>
    <w:p>
      <w:pPr>
        <w:spacing w:after="147"/>
        <w:jc w:val="both"/>
      </w:pPr>
      <w:r>
        <w:rPr>
          <w:color w:val="212121"/>
          <w:sz w:val="21"/>
        </w:rPr>
        <w:t xml:space="preserve">En total, </w:t>
      </w:r>
      <w:r>
        <w:rPr>
          <w:b/>
          <w:color w:val="212121"/>
          <w:sz w:val="21"/>
        </w:rPr>
        <w:t>139 comprobaciones ejecutadas sin fallos</w:t>
      </w:r>
      <w:r>
        <w:rPr>
          <w:color w:val="212121"/>
          <w:sz w:val="21"/>
        </w:rPr>
        <w:t xml:space="preserve"> sobre la misma base de datos.</w:t>
      </w:r>
    </w:p>
    <w:p>
      <w:pPr>
        <w:pStyle w:val="Heading3"/>
        <w:spacing w:before="220" w:after="154"/>
        <w:jc w:val="left"/>
      </w:pPr>
      <w:r>
        <w:rPr>
          <w:rFonts w:ascii="Segoe UI" w:hAnsi="Segoe UI"/>
          <w:b/>
          <w:color w:val="1A237E"/>
          <w:sz w:val="22"/>
        </w:rPr>
        <w:t>15.2 El defecto de fondo que se encontró y corrigió</w:t>
      </w:r>
    </w:p>
    <w:p>
      <w:pPr>
        <w:spacing w:after="147"/>
        <w:jc w:val="both"/>
      </w:pPr>
      <w:r>
        <w:rPr>
          <w:color w:val="212121"/>
          <w:sz w:val="21"/>
        </w:rPr>
        <w:t xml:space="preserve">La revisión de la bitácora mostró un dato imposible: </w:t>
      </w:r>
      <w:r>
        <w:rPr>
          <w:b/>
          <w:color w:val="212121"/>
          <w:sz w:val="21"/>
        </w:rPr>
        <w:t xml:space="preserve">6 308 eventos registrados y ni un solo </w:t>
      </w:r>
      <w:r>
        <w:rPr>
          <w:rFonts w:ascii="Consolas" w:hAnsi="Consolas"/>
          <w:b/>
          <w:color w:val="1A237E"/>
          <w:sz w:val="18"/>
        </w:rPr>
        <w:t>LOGIN</w:t>
      </w:r>
      <w:r>
        <w:rPr>
          <w:color w:val="212121"/>
          <w:sz w:val="21"/>
        </w:rPr>
        <w:t>. Las acciones de aplicación no se estaban guardando.</w:t>
      </w:r>
    </w:p>
    <w:p>
      <w:pPr>
        <w:spacing w:after="147"/>
        <w:jc w:val="both"/>
      </w:pPr>
      <w:r>
        <w:rPr>
          <w:color w:val="212121"/>
          <w:sz w:val="21"/>
        </w:rPr>
        <w:t xml:space="preserve">La causa se localizó con una prueba directa. Se ejecutó la función de registro a través del ayudante </w:t>
      </w:r>
      <w:r>
        <w:rPr>
          <w:rFonts w:ascii="Consolas" w:hAnsi="Consolas"/>
          <w:color w:val="1A237E"/>
          <w:sz w:val="18"/>
        </w:rPr>
        <w:t>escalar()</w:t>
      </w:r>
      <w:r>
        <w:rPr>
          <w:color w:val="212121"/>
          <w:sz w:val="21"/>
        </w:rPr>
        <w:t xml:space="preserve"> y se midió el conteo de filas antes y después:</w:t>
      </w:r>
    </w:p>
    <w:p>
      <w:pPr>
        <w:jc w:val="left"/>
      </w:pPr>
      <w:r>
        <w:rPr>
          <w:rFonts w:ascii="Consolas" w:hAnsi="Consolas"/>
          <w:color w:val="212121"/>
          <w:sz w:val="18"/>
        </w:rPr>
        <w:t>antes: 6308 → después: 6308</w:t>
      </w:r>
    </w:p>
    <w:p>
      <w:pPr>
        <w:spacing w:after="147"/>
        <w:jc w:val="both"/>
      </w:pPr>
      <w:r>
        <w:rPr>
          <w:color w:val="212121"/>
          <w:sz w:val="21"/>
        </w:rPr>
        <w:t xml:space="preserve">La función devolvía un identificador válido pero </w:t>
      </w:r>
      <w:r>
        <w:rPr>
          <w:b/>
          <w:color w:val="212121"/>
          <w:sz w:val="21"/>
        </w:rPr>
        <w:t>la fila no existía</w:t>
      </w:r>
      <w:r>
        <w:rPr>
          <w:color w:val="212121"/>
          <w:sz w:val="21"/>
        </w:rPr>
        <w:t xml:space="preserve">. El motivo es una semántica de SQLAlchemy 2.x que es fácil pasar por alto: al cerrar un bloque </w:t>
      </w:r>
      <w:r>
        <w:rPr>
          <w:rFonts w:ascii="Consolas" w:hAnsi="Consolas"/>
          <w:color w:val="1A237E"/>
          <w:sz w:val="18"/>
        </w:rPr>
        <w:t>engine.connect()</w:t>
      </w:r>
      <w:r>
        <w:rPr>
          <w:color w:val="212121"/>
          <w:sz w:val="21"/>
        </w:rPr>
        <w:t xml:space="preserve">, la transacción se </w:t>
      </w:r>
      <w:r>
        <w:rPr>
          <w:b/>
          <w:color w:val="212121"/>
          <w:sz w:val="21"/>
        </w:rPr>
        <w:t>revierte</w:t>
      </w:r>
      <w:r>
        <w:rPr>
          <w:color w:val="212121"/>
          <w:sz w:val="21"/>
        </w:rPr>
        <w:t xml:space="preserve">. El ayudante usado hasta entonces para escribir abría la conexión con </w:t>
      </w:r>
      <w:r>
        <w:rPr>
          <w:rFonts w:ascii="Consolas" w:hAnsi="Consolas"/>
          <w:color w:val="1A237E"/>
          <w:sz w:val="18"/>
        </w:rPr>
        <w:t>connect()</w:t>
      </w:r>
      <w:r>
        <w:rPr>
          <w:color w:val="212121"/>
          <w:sz w:val="21"/>
        </w:rPr>
        <w:t>, de modo que cada escritura se deshacía silenciosamente al salir del bloque —sin excepción, sin advertencia, sin error—.</w:t>
      </w:r>
    </w:p>
    <w:p>
      <w:pPr>
        <w:spacing w:after="147"/>
        <w:jc w:val="both"/>
      </w:pPr>
      <w:r>
        <w:rPr>
          <w:color w:val="212121"/>
          <w:sz w:val="21"/>
        </w:rPr>
        <w:t xml:space="preserve">La corrección consistió en añadir un ayudante explícito que abre la transacción con </w:t>
      </w:r>
      <w:r>
        <w:rPr>
          <w:rFonts w:ascii="Consolas" w:hAnsi="Consolas"/>
          <w:color w:val="1A237E"/>
          <w:sz w:val="18"/>
        </w:rPr>
        <w:t>engine.begin()</w:t>
      </w:r>
      <w:r>
        <w:rPr>
          <w:color w:val="212121"/>
          <w:sz w:val="21"/>
        </w:rPr>
        <w:t>, que sí confirma, y en migrar a él todo el código de escritura:</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Ayudante</w:t>
            </w:r>
          </w:p>
        </w:tc>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Apertura</w:t>
            </w:r>
          </w:p>
        </w:tc>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Semántica</w:t>
            </w:r>
          </w:p>
        </w:tc>
        <w:tc>
          <w:tcPr>
            <w:tcW w:type="dxa" w:w="216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Uso</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query</w:t>
            </w:r>
            <w:r>
              <w:rPr>
                <w:color w:val="212121"/>
                <w:sz w:val="18"/>
              </w:rPr>
              <w:t xml:space="preserve"> / </w:t>
            </w:r>
            <w:r>
              <w:rPr>
                <w:rFonts w:ascii="Consolas" w:hAnsi="Consolas"/>
                <w:color w:val="212121"/>
                <w:sz w:val="18"/>
              </w:rPr>
              <w:t>one</w:t>
            </w:r>
            <w:r>
              <w:rPr>
                <w:color w:val="212121"/>
                <w:sz w:val="18"/>
              </w:rPr>
              <w:t xml:space="preserve"> / </w:t>
            </w:r>
            <w:r>
              <w:rPr>
                <w:rFonts w:ascii="Consolas" w:hAnsi="Consolas"/>
                <w:color w:val="212121"/>
                <w:sz w:val="18"/>
              </w:rPr>
              <w:t>escalar</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connect()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Revierte al salir</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Solo lectura</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escribir</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begin()</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Confirma al salir</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Toda escritura</w:t>
            </w:r>
          </w:p>
        </w:tc>
      </w:tr>
    </w:tbl>
    <w:p>
      <w:pPr>
        <w:spacing w:after="147"/>
        <w:jc w:val="both"/>
      </w:pPr>
      <w:r>
        <w:rPr>
          <w:color w:val="212121"/>
          <w:sz w:val="21"/>
        </w:rPr>
        <w:t xml:space="preserve">El mismo defecto afectaba a la limpieza del guion de demostración, que borraba registros sin borrar nada y dejaba residuos entre corridas, y a la verificación del alta de mermas. Corregido el ayudante, la verificación pasó de </w:t>
      </w:r>
      <w:r>
        <w:rPr>
          <w:rFonts w:ascii="Consolas" w:hAnsi="Consolas"/>
          <w:color w:val="1A237E"/>
          <w:sz w:val="18"/>
        </w:rPr>
        <w:t>antes: 0 → después: 1</w:t>
      </w:r>
      <w:r>
        <w:rPr>
          <w:color w:val="212121"/>
          <w:sz w:val="21"/>
        </w:rPr>
        <w:t xml:space="preserve"> y la bitácora empezó a registrar las acciones de aplicación.</w:t>
      </w:r>
    </w:p>
    <w:p>
      <w:pPr>
        <w:spacing w:after="147"/>
        <w:jc w:val="both"/>
      </w:pPr>
      <w:r>
        <w:rPr>
          <w:color w:val="212121"/>
          <w:sz w:val="21"/>
        </w:rPr>
        <w:t xml:space="preserve">Este hallazgo es, en la práctica, el resultado más formativo del avance: </w:t>
      </w:r>
      <w:r>
        <w:rPr>
          <w:b/>
          <w:color w:val="212121"/>
          <w:sz w:val="21"/>
        </w:rPr>
        <w:t>una operación que no falla y no escribe es más peligrosa que una que falla</w:t>
      </w:r>
      <w:r>
        <w:rPr>
          <w:color w:val="212121"/>
          <w:sz w:val="21"/>
        </w:rPr>
        <w:t>, porque produce la apariencia de funcionar. Fue el contraste entre el número devuelto y el número de filas lo que lo reveló.</w:t>
      </w:r>
    </w:p>
    <w:p>
      <w:pPr>
        <w:pStyle w:val="Heading3"/>
        <w:spacing w:before="220" w:after="154"/>
        <w:jc w:val="left"/>
      </w:pPr>
      <w:r>
        <w:rPr>
          <w:rFonts w:ascii="Segoe UI" w:hAnsi="Segoe UI"/>
          <w:b/>
          <w:color w:val="1A237E"/>
          <w:sz w:val="22"/>
        </w:rPr>
        <w:t>15.3 Verificación de persistencia con Flask reiniciado</w:t>
      </w:r>
    </w:p>
    <w:p>
      <w:pPr>
        <w:spacing w:after="147"/>
        <w:jc w:val="both"/>
      </w:pPr>
      <w:r>
        <w:rPr>
          <w:color w:val="212121"/>
          <w:sz w:val="21"/>
        </w:rPr>
        <w:t xml:space="preserve">El requisito de la demostración es cerrar Flask, volver a iniciarlo y comprobar que la información sigue existiendo. El script lo resuelve con una segunda orden que se ejecuta </w:t>
      </w:r>
      <w:r>
        <w:rPr>
          <w:b/>
          <w:color w:val="212121"/>
          <w:sz w:val="21"/>
        </w:rPr>
        <w:t>en un proceso nuevo</w:t>
      </w:r>
      <w:r>
        <w:rPr>
          <w:color w:val="212121"/>
          <w:sz w:val="21"/>
        </w:rPr>
        <w:t>, después de que el primero terminó:</w:t>
      </w:r>
    </w:p>
    <w:p>
      <w:pPr>
        <w:jc w:val="left"/>
      </w:pPr>
      <w:r>
        <w:rPr>
          <w:rFonts w:ascii="Consolas" w:hAnsi="Consolas"/>
          <w:color w:val="212121"/>
          <w:sz w:val="18"/>
        </w:rPr>
        <w:t>python scripts/demo_avance2.py --verificar</w:t>
      </w:r>
    </w:p>
    <w:p>
      <w:pPr>
        <w:spacing w:after="147"/>
        <w:jc w:val="both"/>
      </w:pPr>
      <w:r>
        <w:rPr>
          <w:color w:val="212121"/>
          <w:sz w:val="21"/>
        </w:rPr>
        <w:t>La verificación relee todo desde PostgreSQL sin Flask en memoria y confirma:</w:t>
      </w:r>
    </w:p>
    <w:p>
      <w:pPr>
        <w:pStyle w:val="ListBullet"/>
        <w:spacing w:after="63"/>
        <w:jc w:val="left"/>
      </w:pPr>
      <w:r>
        <w:rPr>
          <w:color w:val="212121"/>
          <w:sz w:val="21"/>
        </w:rPr>
        <w:t>Los conteos de cada tabla (productos, lotes, existencias, movimientos, ventas, mermas, pronósticos, órdenes, transferencias, alertas y eventos de auditoría).</w:t>
      </w:r>
    </w:p>
    <w:p>
      <w:pPr>
        <w:pStyle w:val="ListBullet"/>
        <w:spacing w:after="63"/>
        <w:jc w:val="left"/>
      </w:pPr>
      <w:r>
        <w:rPr>
          <w:color w:val="212121"/>
          <w:sz w:val="21"/>
        </w:rPr>
        <w:t>La presencia del producto, el proveedor y los lotes del escenario de demostración.</w:t>
      </w:r>
    </w:p>
    <w:p>
      <w:pPr>
        <w:pStyle w:val="ListBullet"/>
        <w:spacing w:after="63"/>
        <w:jc w:val="left"/>
      </w:pPr>
      <w:r>
        <w:rPr>
          <w:color w:val="212121"/>
          <w:sz w:val="21"/>
        </w:rPr>
        <w:t>La última corrida de pronóstico con su MAE y su WMAPE.</w:t>
      </w:r>
    </w:p>
    <w:p>
      <w:pPr>
        <w:pStyle w:val="ListBullet"/>
        <w:spacing w:after="63"/>
        <w:jc w:val="left"/>
      </w:pPr>
      <w:r>
        <w:rPr>
          <w:color w:val="212121"/>
          <w:sz w:val="21"/>
        </w:rPr>
        <w:t>Los últimos eventos de la bitácora, con marca de tiempo.</w:t>
      </w:r>
    </w:p>
    <w:p>
      <w:pPr>
        <w:pStyle w:val="ListBullet"/>
        <w:spacing w:after="63"/>
        <w:jc w:val="left"/>
      </w:pPr>
      <w:r>
        <w:rPr>
          <w:color w:val="212121"/>
          <w:sz w:val="21"/>
        </w:rPr>
        <w:t xml:space="preserve">Que las rutas privadas sigan protegidas: </w:t>
      </w:r>
      <w:r>
        <w:rPr>
          <w:rFonts w:ascii="Consolas" w:hAnsi="Consolas"/>
          <w:color w:val="1A237E"/>
          <w:sz w:val="18"/>
        </w:rPr>
        <w:t>GET /inventario</w:t>
      </w:r>
      <w:r>
        <w:rPr>
          <w:color w:val="212121"/>
          <w:sz w:val="21"/>
        </w:rPr>
        <w:t xml:space="preserve"> sin sesión devuelve </w:t>
      </w:r>
      <w:r>
        <w:rPr>
          <w:b/>
          <w:color w:val="212121"/>
          <w:sz w:val="21"/>
        </w:rPr>
        <w:t>HTTP 302</w:t>
      </w:r>
      <w:r>
        <w:rPr>
          <w:color w:val="212121"/>
          <w:sz w:val="21"/>
        </w:rPr>
        <w:t xml:space="preserve"> hacia </w:t>
      </w:r>
      <w:r>
        <w:rPr>
          <w:rFonts w:ascii="Consolas" w:hAnsi="Consolas"/>
          <w:color w:val="1A237E"/>
          <w:sz w:val="18"/>
        </w:rPr>
        <w:t>/login?next=/inventario</w:t>
      </w:r>
      <w:r>
        <w:rPr>
          <w:color w:val="212121"/>
          <w:sz w:val="21"/>
        </w:rPr>
        <w:t>.</w:t>
      </w:r>
    </w:p>
    <w:p>
      <w:pPr>
        <w:pStyle w:val="ListBullet"/>
        <w:spacing w:after="63"/>
        <w:jc w:val="left"/>
      </w:pPr>
      <w:r>
        <w:rPr>
          <w:color w:val="212121"/>
          <w:sz w:val="21"/>
        </w:rPr>
        <w:t xml:space="preserve">Que las rutas privadas respondan con datos después del reinicio: </w:t>
      </w:r>
      <w:r>
        <w:rPr>
          <w:rFonts w:ascii="Consolas" w:hAnsi="Consolas"/>
          <w:color w:val="1A237E"/>
          <w:sz w:val="18"/>
        </w:rPr>
        <w:t>/panel</w:t>
      </w:r>
      <w:r>
        <w:rPr>
          <w:color w:val="212121"/>
          <w:sz w:val="21"/>
        </w:rPr>
        <w:t xml:space="preserve">, </w:t>
      </w:r>
      <w:r>
        <w:rPr>
          <w:rFonts w:ascii="Consolas" w:hAnsi="Consolas"/>
          <w:color w:val="1A237E"/>
          <w:sz w:val="18"/>
        </w:rPr>
        <w:t>/inventario</w:t>
      </w:r>
      <w:r>
        <w:rPr>
          <w:color w:val="212121"/>
          <w:sz w:val="21"/>
        </w:rPr>
        <w:t xml:space="preserve"> y </w:t>
      </w:r>
      <w:r>
        <w:rPr>
          <w:rFonts w:ascii="Consolas" w:hAnsi="Consolas"/>
          <w:color w:val="1A237E"/>
          <w:sz w:val="18"/>
        </w:rPr>
        <w:t>/lotes</w:t>
      </w:r>
      <w:r>
        <w:rPr>
          <w:color w:val="212121"/>
          <w:sz w:val="21"/>
        </w:rPr>
        <w:t xml:space="preserve"> devuelven </w:t>
      </w:r>
      <w:r>
        <w:rPr>
          <w:b/>
          <w:color w:val="212121"/>
          <w:sz w:val="21"/>
        </w:rPr>
        <w:t>HTTP 200</w:t>
      </w:r>
      <w:r>
        <w:rPr>
          <w:color w:val="212121"/>
          <w:sz w:val="21"/>
        </w:rPr>
        <w:t>, y el producto de la demostración aparece en el inventario.</w:t>
      </w:r>
    </w:p>
    <w:p>
      <w:pPr>
        <w:pStyle w:val="Heading3"/>
        <w:spacing w:before="220" w:after="154"/>
        <w:jc w:val="left"/>
      </w:pPr>
      <w:r>
        <w:rPr>
          <w:rFonts w:ascii="Segoe UI" w:hAnsi="Segoe UI"/>
          <w:b/>
          <w:color w:val="1A237E"/>
          <w:sz w:val="22"/>
        </w:rPr>
        <w:t>15.4 Prueba de humo de todas las pantallas</w:t>
      </w:r>
    </w:p>
    <w:p>
      <w:pPr>
        <w:spacing w:after="147"/>
        <w:jc w:val="both"/>
      </w:pPr>
      <w:r>
        <w:rPr>
          <w:color w:val="212121"/>
          <w:sz w:val="21"/>
        </w:rPr>
        <w:t xml:space="preserve">El script </w:t>
      </w:r>
      <w:r>
        <w:rPr>
          <w:rFonts w:ascii="Consolas" w:hAnsi="Consolas"/>
          <w:color w:val="1A237E"/>
          <w:sz w:val="18"/>
        </w:rPr>
        <w:t>scripts/smoke_rutas.py</w:t>
      </w:r>
      <w:r>
        <w:rPr>
          <w:color w:val="212121"/>
          <w:sz w:val="21"/>
        </w:rPr>
        <w:t xml:space="preserve"> inicia sesión con cada uno de los 7 roles y solicita </w:t>
      </w:r>
      <w:r>
        <w:rPr>
          <w:b/>
          <w:color w:val="212121"/>
          <w:sz w:val="21"/>
        </w:rPr>
        <w:t>todas las pantallas que ese rol tiene permitidas</w:t>
      </w:r>
      <w:r>
        <w:rPr>
          <w:color w:val="212121"/>
          <w:sz w:val="21"/>
        </w:rPr>
        <w:t>: 73 peticiones en total.</w:t>
      </w:r>
    </w:p>
    <w:p>
      <w:pPr>
        <w:spacing w:after="147"/>
        <w:jc w:val="both"/>
      </w:pPr>
      <w:r>
        <w:rPr>
          <w:color w:val="212121"/>
          <w:sz w:val="21"/>
        </w:rPr>
        <w:t xml:space="preserve">El resultado es que las 73 pantallas responden </w:t>
      </w:r>
      <w:r>
        <w:rPr>
          <w:b/>
          <w:color w:val="212121"/>
          <w:sz w:val="21"/>
        </w:rPr>
        <w:t>HTTP 200</w:t>
      </w:r>
      <w:r>
        <w:rPr>
          <w:color w:val="212121"/>
          <w:sz w:val="21"/>
        </w:rPr>
        <w:t xml:space="preserve"> con el rol que tiene permiso, la landing pública responde 200 sin exponer un campo de contraseña, y las rutas privadas devuelven 302 para un visitante anónimo. Esto comprueba simultáneamente que las plantillas renderizan sin error con datos reales y que la matriz de permisos no tiene agujeros.</w:t>
      </w:r>
    </w:p>
    <w:p>
      <w:pPr>
        <w:pStyle w:val="Heading3"/>
        <w:spacing w:before="220" w:after="154"/>
        <w:jc w:val="left"/>
      </w:pPr>
      <w:r>
        <w:rPr>
          <w:rFonts w:ascii="Segoe UI" w:hAnsi="Segoe UI"/>
          <w:b/>
          <w:color w:val="1A237E"/>
          <w:sz w:val="22"/>
        </w:rPr>
        <w:t>15.5 Construcción desde cero e idempotencia</w:t>
      </w:r>
    </w:p>
    <w:p>
      <w:pPr>
        <w:spacing w:after="147"/>
        <w:jc w:val="both"/>
      </w:pPr>
      <w:r>
        <w:rPr>
          <w:color w:val="212121"/>
          <w:sz w:val="21"/>
        </w:rPr>
        <w:t xml:space="preserve">El script </w:t>
      </w:r>
      <w:r>
        <w:rPr>
          <w:rFonts w:ascii="Consolas" w:hAnsi="Consolas"/>
          <w:color w:val="1A237E"/>
          <w:sz w:val="18"/>
        </w:rPr>
        <w:t>scripts/bootstrap_db.py</w:t>
      </w:r>
      <w:r>
        <w:rPr>
          <w:color w:val="212121"/>
          <w:sz w:val="21"/>
        </w:rPr>
        <w:t xml:space="preserve"> crea la base de datos si no existe, crea o actualiza los cuatro roles de conexión y ejecuta en orden los siete archivos SQL del esquema, verificando al final la existencia de 16 objetos clave.</w:t>
      </w:r>
    </w:p>
    <w:p>
      <w:pPr>
        <w:spacing w:after="147"/>
        <w:jc w:val="both"/>
      </w:pPr>
      <w:r>
        <w:rPr>
          <w:color w:val="212121"/>
          <w:sz w:val="21"/>
        </w:rPr>
        <w:t xml:space="preserve">La carga inicial de datos se realiza con </w:t>
      </w:r>
      <w:r>
        <w:rPr>
          <w:rFonts w:ascii="Consolas" w:hAnsi="Consolas"/>
          <w:color w:val="1A237E"/>
          <w:sz w:val="18"/>
        </w:rPr>
        <w:t>scripts/ETL.py</w:t>
      </w:r>
      <w:r>
        <w:rPr>
          <w:color w:val="212121"/>
          <w:sz w:val="21"/>
        </w:rPr>
        <w:t xml:space="preserve">, que en una base nueva deja </w:t>
      </w:r>
      <w:r>
        <w:rPr>
          <w:b/>
          <w:color w:val="212121"/>
          <w:sz w:val="21"/>
        </w:rPr>
        <w:t>746 lotes, 1 860 ventas, 2 424 líneas de venta, 96 mermas y 3 266 movimientos de kardex</w:t>
      </w:r>
      <w:r>
        <w:rPr>
          <w:color w:val="212121"/>
          <w:sz w:val="21"/>
        </w:rPr>
        <w:t>.</w:t>
      </w:r>
    </w:p>
    <w:p>
      <w:pPr>
        <w:spacing w:after="147"/>
        <w:jc w:val="both"/>
      </w:pPr>
      <w:r>
        <w:rPr>
          <w:color w:val="212121"/>
          <w:sz w:val="21"/>
        </w:rPr>
        <w:t xml:space="preserve">Ambos scripts son idempotentes. La idempotencia del esquema exigió añadir los tres índices únicos parciales sobre </w:t>
      </w:r>
      <w:r>
        <w:rPr>
          <w:rFonts w:ascii="Consolas" w:hAnsi="Consolas"/>
          <w:color w:val="1A237E"/>
          <w:sz w:val="18"/>
        </w:rPr>
        <w:t>regla_riesgo</w:t>
      </w:r>
      <w:r>
        <w:rPr>
          <w:color w:val="212121"/>
          <w:sz w:val="21"/>
        </w:rPr>
        <w:t>: sin ellos, volver a ejecutar la carga duplicaba las reglas de riesgo —de 7 a 13—. Con los índices, tres ejecuciones consecutivas dejan el conteo estable en 7.</w:t>
      </w:r>
    </w:p>
    <w:p>
      <w:pPr>
        <w:pStyle w:val="Heading3"/>
        <w:spacing w:before="220" w:after="154"/>
        <w:jc w:val="left"/>
      </w:pPr>
      <w:r>
        <w:rPr>
          <w:rFonts w:ascii="Segoe UI" w:hAnsi="Segoe UI"/>
          <w:b/>
          <w:color w:val="1A237E"/>
          <w:sz w:val="22"/>
        </w:rPr>
        <w:t>15.6 Trazabilidad de la infraestructura</w:t>
      </w:r>
    </w:p>
    <w:p>
      <w:pPr>
        <w:spacing w:after="147"/>
        <w:jc w:val="both"/>
      </w:pPr>
      <w:r>
        <w:rPr>
          <w:color w:val="212121"/>
          <w:sz w:val="21"/>
        </w:rPr>
        <w:t xml:space="preserve">El archivo </w:t>
      </w:r>
      <w:r>
        <w:rPr>
          <w:rFonts w:ascii="Consolas" w:hAnsi="Consolas"/>
          <w:color w:val="1A237E"/>
          <w:sz w:val="18"/>
        </w:rPr>
        <w:t>docker-compose.yml</w:t>
      </w:r>
      <w:r>
        <w:rPr>
          <w:color w:val="212121"/>
          <w:sz w:val="21"/>
        </w:rPr>
        <w:t xml:space="preserve"> fue reescrito para dejar únicamente los dos servicios que el sistema realmente usa. Los servicios de MongoDB y Redis que contenía fueron eliminados tras comprobar por búsqueda en el código que </w:t>
      </w:r>
      <w:r>
        <w:rPr>
          <w:b/>
          <w:color w:val="212121"/>
          <w:sz w:val="21"/>
        </w:rPr>
        <w:t>no había una sola referencia</w:t>
      </w:r>
      <w:r>
        <w:rPr>
          <w:color w:val="212121"/>
          <w:sz w:val="21"/>
        </w:rPr>
        <w:t xml:space="preserve"> a ninguno de los dos.</w:t>
      </w:r>
    </w:p>
    <w:p>
      <w:pPr>
        <w:spacing w:after="147"/>
        <w:jc w:val="both"/>
      </w:pPr>
      <w:r>
        <w:rPr>
          <w:color w:val="212121"/>
          <w:sz w:val="21"/>
        </w:rPr>
        <w:t xml:space="preserve">De forma análoga, tres archivos SQL que eran volcados de un esquema obsoleto se movieron a </w:t>
      </w:r>
      <w:r>
        <w:rPr>
          <w:rFonts w:ascii="Consolas" w:hAnsi="Consolas"/>
          <w:color w:val="1A237E"/>
          <w:sz w:val="18"/>
        </w:rPr>
        <w:t>sql/legacy/</w:t>
      </w:r>
      <w:r>
        <w:rPr>
          <w:color w:val="212121"/>
          <w:sz w:val="21"/>
        </w:rPr>
        <w:t>: al estar en el directorio de inicialización de PostgreSQL, su orden de ejecución rompía la creación del esquema desde cero en un contenedor nuevo.</w:t>
      </w:r>
    </w:p>
    <w:p>
      <w:bookmarkStart w:id="15" w:name="sec-16"/>
      <w:pPr>
        <w:pStyle w:val="Heading2"/>
        <w:spacing w:before="513" w:after="189"/>
        <w:jc w:val="left"/>
        <w:pBdr>
          <w:bottom w:val="single" w:sz="6" w:space="3" w:color="E0E0E0"/>
        </w:pBdr>
      </w:pPr>
      <w:bookmarkEnd w:id="15"/>
      <w:r>
        <w:rPr>
          <w:rFonts w:ascii="Segoe UI" w:hAnsi="Segoe UI"/>
          <w:b/>
          <w:color w:val="1565C0"/>
          <w:sz w:val="27"/>
        </w:rPr>
        <w:t>16. Conclusiones, limitaciones y trabajo pendiente</w:t>
      </w:r>
    </w:p>
    <w:p>
      <w:pPr>
        <w:spacing w:after="147"/>
        <w:jc w:val="both"/>
      </w:pPr>
      <w:r>
        <w:rPr>
          <w:color w:val="212121"/>
          <w:sz w:val="21"/>
        </w:rPr>
        <w:t>El cierre del avance separa lo que quedó demostrado de lo que todavía no, y deja por escrito lo que falta.</w:t>
      </w:r>
    </w:p>
    <w:p>
      <w:pPr>
        <w:pStyle w:val="Heading3"/>
        <w:spacing w:before="220" w:after="154"/>
        <w:jc w:val="left"/>
      </w:pPr>
      <w:r>
        <w:rPr>
          <w:rFonts w:ascii="Segoe UI" w:hAnsi="Segoe UI"/>
          <w:b/>
          <w:color w:val="1A237E"/>
          <w:sz w:val="22"/>
        </w:rPr>
        <w:t>16.1 Conclusiones</w:t>
      </w:r>
    </w:p>
    <w:p>
      <w:pPr>
        <w:pStyle w:val="ListNumber"/>
        <w:numPr>
          <w:ilvl w:val="0"/>
          <w:numId w:val="15"/>
        </w:numPr>
        <w:spacing w:after="63"/>
        <w:jc w:val="left"/>
      </w:pPr>
      <w:r>
        <w:rPr>
          <w:b/>
          <w:color w:val="212121"/>
          <w:sz w:val="21"/>
        </w:rPr>
        <w:t>El requisito central está cumplido y es verificable.</w:t>
      </w:r>
      <w:r>
        <w:rPr>
          <w:color w:val="212121"/>
          <w:sz w:val="21"/>
        </w:rPr>
        <w:t xml:space="preserve"> El flujo principal no usa datos simulados. El archivo de datos de ejemplo fue eliminado y las 22 tablas se pueblan por operaciones reales a través de la capa HTTP.</w:t>
      </w:r>
    </w:p>
    <w:p>
      <w:pPr>
        <w:pStyle w:val="ListNumber"/>
        <w:numPr>
          <w:ilvl w:val="0"/>
          <w:numId w:val="16"/>
        </w:numPr>
        <w:spacing w:after="63"/>
        <w:jc w:val="left"/>
      </w:pPr>
      <w:r>
        <w:rPr>
          <w:b/>
          <w:color w:val="212121"/>
          <w:sz w:val="21"/>
        </w:rPr>
        <w:t>La decisión de calcular la vida útil en la base y no almacenarla</w:t>
      </w:r>
      <w:r>
        <w:rPr>
          <w:color w:val="212121"/>
          <w:sz w:val="21"/>
        </w:rPr>
        <w:t xml:space="preserve"> resultó ser la que sostiene todo lo demás. Clasificación de riesgo, alertas, riesgo por lote, FEFO y reabastecimiento son consecuencias de ese cálculo, no módulos independientes.</w:t>
      </w:r>
    </w:p>
    <w:p>
      <w:pPr>
        <w:pStyle w:val="ListNumber"/>
        <w:numPr>
          <w:ilvl w:val="0"/>
          <w:numId w:val="17"/>
        </w:numPr>
        <w:spacing w:after="63"/>
        <w:jc w:val="left"/>
      </w:pPr>
      <w:r>
        <w:rPr>
          <w:b/>
          <w:color w:val="212121"/>
          <w:sz w:val="21"/>
        </w:rPr>
        <w:t>Separar el inventario en físico, en riesgo y útil</w:t>
      </w:r>
      <w:r>
        <w:rPr>
          <w:color w:val="212121"/>
          <w:sz w:val="21"/>
        </w:rPr>
        <w:t xml:space="preserve"> cambió el comportamiento del reabastecimiento. Es la diferencia entre reponer por lo que hay y reponer por lo que sirve.</w:t>
      </w:r>
    </w:p>
    <w:p>
      <w:pPr>
        <w:pStyle w:val="ListNumber"/>
        <w:numPr>
          <w:ilvl w:val="0"/>
          <w:numId w:val="18"/>
        </w:numPr>
        <w:spacing w:after="63"/>
        <w:jc w:val="left"/>
      </w:pPr>
      <w:r>
        <w:rPr>
          <w:b/>
          <w:color w:val="212121"/>
          <w:sz w:val="21"/>
        </w:rPr>
        <w:t>Medir el error del pronóstico</w:t>
      </w:r>
      <w:r>
        <w:rPr>
          <w:color w:val="212121"/>
          <w:sz w:val="21"/>
        </w:rPr>
        <w:t xml:space="preserve"> fue más valioso que mejorar el método. Un MAE de 6.3049 y un WMAPE de 11.4650 % permiten afirmar que el pronóstico es aceptable; sin esas métricas, cualquier afirmación sería una opinión.</w:t>
      </w:r>
    </w:p>
    <w:p>
      <w:pPr>
        <w:pStyle w:val="ListNumber"/>
        <w:numPr>
          <w:ilvl w:val="0"/>
          <w:numId w:val="19"/>
        </w:numPr>
        <w:spacing w:after="63"/>
        <w:jc w:val="left"/>
      </w:pPr>
      <w:r>
        <w:rPr>
          <w:b/>
          <w:color w:val="212121"/>
          <w:sz w:val="21"/>
        </w:rPr>
        <w:t>La aprobación humana se implementó en los hechos</w:t>
      </w:r>
      <w:r>
        <w:rPr>
          <w:color w:val="212121"/>
          <w:sz w:val="21"/>
        </w:rPr>
        <w:t>, no en la interfaz: el estado de una orden, una transferencia o un descuento no cambia sin un evento de aprobación registrado con responsable.</w:t>
      </w:r>
    </w:p>
    <w:p>
      <w:pPr>
        <w:pStyle w:val="ListNumber"/>
        <w:numPr>
          <w:ilvl w:val="0"/>
          <w:numId w:val="20"/>
        </w:numPr>
        <w:spacing w:after="63"/>
        <w:jc w:val="left"/>
      </w:pPr>
      <w:r>
        <w:rPr>
          <w:b/>
          <w:color w:val="212121"/>
          <w:sz w:val="21"/>
        </w:rPr>
        <w:t>El hallazgo más importante fue un defecto silencioso.</w:t>
      </w:r>
      <w:r>
        <w:rPr>
          <w:color w:val="212121"/>
          <w:sz w:val="21"/>
        </w:rPr>
        <w:t xml:space="preserve"> Una escritura que se revertía sin error dejó la bitácora de acciones vacía. Solo se detectó contrastando el valor devuelto con el conteo real de filas.</w:t>
      </w:r>
    </w:p>
    <w:p>
      <w:pPr>
        <w:pStyle w:val="Heading3"/>
        <w:spacing w:before="220" w:after="154"/>
        <w:jc w:val="left"/>
      </w:pPr>
      <w:r>
        <w:rPr>
          <w:rFonts w:ascii="Segoe UI" w:hAnsi="Segoe UI"/>
          <w:b/>
          <w:color w:val="1A237E"/>
          <w:sz w:val="22"/>
        </w:rPr>
        <w:t>16.2 Limitaciones</w:t>
      </w:r>
    </w:p>
    <w:p>
      <w:pPr>
        <w:pStyle w:val="ListBullet"/>
        <w:spacing w:after="63"/>
        <w:jc w:val="left"/>
      </w:pPr>
      <w:r>
        <w:rPr>
          <w:b/>
          <w:color w:val="212121"/>
          <w:sz w:val="21"/>
        </w:rPr>
        <w:t>El pronóstico no incorpora promociones ni quiebres de stock.</w:t>
      </w:r>
      <w:r>
        <w:rPr>
          <w:color w:val="212121"/>
          <w:sz w:val="21"/>
        </w:rPr>
        <w:t xml:space="preserve"> Cuando un producto se agota, la venta registrada deja de reflejar la demanda real: la demanda observada es demanda satisfecha. El sistema no distingue ambas, y eso sesga el pronóstico a la baja en productos con faltantes recurrentes.</w:t>
      </w:r>
    </w:p>
    <w:p>
      <w:pPr>
        <w:pStyle w:val="ListBullet"/>
        <w:spacing w:after="63"/>
        <w:jc w:val="left"/>
      </w:pPr>
      <w:r>
        <w:rPr>
          <w:b/>
          <w:color w:val="212121"/>
          <w:sz w:val="21"/>
        </w:rPr>
        <w:t>El cálculo de inventario en riesgo es una heurística</w:t>
      </w:r>
      <w:r>
        <w:rPr>
          <w:color w:val="212121"/>
          <w:sz w:val="21"/>
        </w:rPr>
        <w:t>, no un modelo. Usa un horizonte fijo de cinco días de demanda por lote. Un producto con demanda muy estacional quedaría mal estimado.</w:t>
      </w:r>
    </w:p>
    <w:p>
      <w:pPr>
        <w:pStyle w:val="ListBullet"/>
        <w:spacing w:after="63"/>
        <w:jc w:val="left"/>
      </w:pPr>
      <w:r>
        <w:rPr>
          <w:b/>
          <w:color w:val="212121"/>
          <w:sz w:val="21"/>
        </w:rPr>
        <w:t>La desestacionalización es semanal.</w:t>
      </w:r>
      <w:r>
        <w:rPr>
          <w:color w:val="212121"/>
          <w:sz w:val="21"/>
        </w:rPr>
        <w:t xml:space="preserve"> No captura efectos mensuales, quincenales ni de temporada alta.</w:t>
      </w:r>
    </w:p>
    <w:p>
      <w:pPr>
        <w:pStyle w:val="ListBullet"/>
        <w:spacing w:after="63"/>
        <w:jc w:val="left"/>
      </w:pPr>
      <w:r>
        <w:rPr>
          <w:b/>
          <w:color w:val="212121"/>
          <w:sz w:val="21"/>
        </w:rPr>
        <w:t>La bitácora es inmutable por diseño</w:t>
      </w:r>
      <w:r>
        <w:rPr>
          <w:color w:val="212121"/>
          <w:sz w:val="21"/>
        </w:rPr>
        <w:t>, lo que impide corregir registros de diagnóstico. Durante el desarrollo quedaron dos filas sintéticas (</w:t>
      </w:r>
      <w:r>
        <w:rPr>
          <w:rFonts w:ascii="Consolas" w:hAnsi="Consolas"/>
          <w:color w:val="1A237E"/>
          <w:sz w:val="18"/>
        </w:rPr>
        <w:t>TEST_AUDITORIA</w:t>
      </w:r>
      <w:r>
        <w:rPr>
          <w:color w:val="212121"/>
          <w:sz w:val="21"/>
        </w:rPr>
        <w:t xml:space="preserve"> y </w:t>
      </w:r>
      <w:r>
        <w:rPr>
          <w:rFonts w:ascii="Consolas" w:hAnsi="Consolas"/>
          <w:color w:val="1A237E"/>
          <w:sz w:val="18"/>
        </w:rPr>
        <w:t>PRUEBA_DIRECTA</w:t>
      </w:r>
      <w:r>
        <w:rPr>
          <w:color w:val="212121"/>
          <w:sz w:val="21"/>
        </w:rPr>
        <w:t>) producto de las pruebas del mecanismo de auditoría. No es un defecto —la inmutabilidad es intencional— pero conviene saberlo antes de revisar la bitácora.</w:t>
      </w:r>
    </w:p>
    <w:p>
      <w:pPr>
        <w:pStyle w:val="ListBullet"/>
        <w:spacing w:after="63"/>
        <w:jc w:val="left"/>
      </w:pPr>
      <w:r>
        <w:rPr>
          <w:b/>
          <w:color w:val="212121"/>
          <w:sz w:val="21"/>
        </w:rPr>
        <w:t>La aplicación no se ha probado con concurrencia real.</w:t>
      </w:r>
      <w:r>
        <w:rPr>
          <w:color w:val="212121"/>
          <w:sz w:val="21"/>
        </w:rPr>
        <w:t xml:space="preserve"> El bloqueo </w:t>
      </w:r>
      <w:r>
        <w:rPr>
          <w:rFonts w:ascii="Consolas" w:hAnsi="Consolas"/>
          <w:color w:val="1A237E"/>
          <w:sz w:val="18"/>
        </w:rPr>
        <w:t>FOR UPDATE</w:t>
      </w:r>
      <w:r>
        <w:rPr>
          <w:color w:val="212121"/>
          <w:sz w:val="21"/>
        </w:rPr>
        <w:t xml:space="preserve"> está implementado y es correcto, pero no se ha sometido a prueba de carga con ventas simultáneas.</w:t>
      </w:r>
    </w:p>
    <w:p>
      <w:pPr>
        <w:pStyle w:val="Heading3"/>
        <w:spacing w:before="220" w:after="154"/>
        <w:jc w:val="left"/>
      </w:pPr>
      <w:r>
        <w:rPr>
          <w:rFonts w:ascii="Segoe UI" w:hAnsi="Segoe UI"/>
          <w:b/>
          <w:color w:val="1A237E"/>
          <w:sz w:val="22"/>
        </w:rPr>
        <w:t>16.3 Trabajo pendiente</w:t>
      </w:r>
    </w:p>
    <w:p>
      <w:pPr>
        <w:pStyle w:val="ListNumber"/>
        <w:numPr>
          <w:ilvl w:val="0"/>
          <w:numId w:val="21"/>
        </w:numPr>
        <w:spacing w:after="63"/>
        <w:jc w:val="left"/>
      </w:pPr>
      <w:r>
        <w:rPr>
          <w:b/>
          <w:color w:val="212121"/>
          <w:sz w:val="21"/>
        </w:rPr>
        <w:t>Rotar las credenciales</w:t>
      </w:r>
      <w:r>
        <w:rPr>
          <w:color w:val="212121"/>
          <w:sz w:val="21"/>
        </w:rPr>
        <w:t xml:space="preserve"> que circularon en texto plano durante el desarrollo: las claves de los roles de base de datos y la contraseña del servidor. La corrección de </w:t>
      </w:r>
      <w:r>
        <w:rPr>
          <w:rFonts w:ascii="Consolas" w:hAnsi="Consolas"/>
          <w:color w:val="1A237E"/>
          <w:sz w:val="18"/>
        </w:rPr>
        <w:t>config.py</w:t>
      </w:r>
      <w:r>
        <w:rPr>
          <w:color w:val="212121"/>
          <w:sz w:val="21"/>
        </w:rPr>
        <w:t xml:space="preserve"> y </w:t>
      </w:r>
      <w:r>
        <w:rPr>
          <w:rFonts w:ascii="Consolas" w:hAnsi="Consolas"/>
          <w:color w:val="1A237E"/>
          <w:sz w:val="18"/>
        </w:rPr>
        <w:t>ETL.py</w:t>
      </w:r>
      <w:r>
        <w:rPr>
          <w:color w:val="212121"/>
          <w:sz w:val="21"/>
        </w:rPr>
        <w:t xml:space="preserve"> evita que vuelvan a quedar embebidas, pero no invalida las que ya se expusieron.</w:t>
      </w:r>
    </w:p>
    <w:p>
      <w:pPr>
        <w:pStyle w:val="ListNumber"/>
        <w:numPr>
          <w:ilvl w:val="0"/>
          <w:numId w:val="21"/>
        </w:numPr>
        <w:spacing w:after="63"/>
        <w:jc w:val="left"/>
      </w:pPr>
      <w:r>
        <w:rPr>
          <w:color w:val="212121"/>
          <w:sz w:val="21"/>
        </w:rPr>
        <w:t xml:space="preserve">Incorporar </w:t>
      </w:r>
      <w:r>
        <w:rPr>
          <w:b/>
          <w:color w:val="212121"/>
          <w:sz w:val="21"/>
        </w:rPr>
        <w:t>promociones y quiebres de stock</w:t>
      </w:r>
      <w:r>
        <w:rPr>
          <w:color w:val="212121"/>
          <w:sz w:val="21"/>
        </w:rPr>
        <w:t xml:space="preserve"> como variables del pronóstico.</w:t>
      </w:r>
    </w:p>
    <w:p>
      <w:pPr>
        <w:pStyle w:val="ListNumber"/>
        <w:numPr>
          <w:ilvl w:val="0"/>
          <w:numId w:val="21"/>
        </w:numPr>
        <w:spacing w:after="63"/>
        <w:jc w:val="left"/>
      </w:pPr>
      <w:r>
        <w:rPr>
          <w:color w:val="212121"/>
          <w:sz w:val="21"/>
        </w:rPr>
        <w:t xml:space="preserve">Añadir una </w:t>
      </w:r>
      <w:r>
        <w:rPr>
          <w:b/>
          <w:color w:val="212121"/>
          <w:sz w:val="21"/>
        </w:rPr>
        <w:t>prueba de concurrencia</w:t>
      </w:r>
      <w:r>
        <w:rPr>
          <w:color w:val="212121"/>
          <w:sz w:val="21"/>
        </w:rPr>
        <w:t xml:space="preserve"> sobre el consumo FEFO.</w:t>
      </w:r>
    </w:p>
    <w:p>
      <w:pPr>
        <w:pStyle w:val="ListNumber"/>
        <w:numPr>
          <w:ilvl w:val="0"/>
          <w:numId w:val="21"/>
        </w:numPr>
        <w:spacing w:after="63"/>
        <w:jc w:val="left"/>
      </w:pPr>
      <w:r>
        <w:rPr>
          <w:color w:val="212121"/>
          <w:sz w:val="21"/>
        </w:rPr>
        <w:t xml:space="preserve">Evaluar la </w:t>
      </w:r>
      <w:r>
        <w:rPr>
          <w:b/>
          <w:color w:val="212121"/>
          <w:sz w:val="21"/>
        </w:rPr>
        <w:t>media móvil ponderada</w:t>
      </w:r>
      <w:r>
        <w:rPr>
          <w:color w:val="212121"/>
          <w:sz w:val="21"/>
        </w:rPr>
        <w:t xml:space="preserve"> contra la suavización exponencial con las métricas ya implementadas, y elegir el método por error medido y no por preferencia.</w:t>
      </w:r>
    </w:p>
    <w:p>
      <w:pPr>
        <w:pStyle w:val="ListNumber"/>
        <w:numPr>
          <w:ilvl w:val="0"/>
          <w:numId w:val="21"/>
        </w:numPr>
        <w:spacing w:after="63"/>
        <w:jc w:val="left"/>
      </w:pPr>
      <w:r>
        <w:rPr>
          <w:color w:val="212121"/>
          <w:sz w:val="21"/>
        </w:rPr>
        <w:t xml:space="preserve">Incorporar </w:t>
      </w:r>
      <w:r>
        <w:rPr>
          <w:b/>
          <w:color w:val="212121"/>
          <w:sz w:val="21"/>
        </w:rPr>
        <w:t>caducidad escalonada</w:t>
      </w:r>
      <w:r>
        <w:rPr>
          <w:color w:val="212121"/>
          <w:sz w:val="21"/>
        </w:rPr>
        <w:t xml:space="preserve"> en la sugerencia de descuento, para no descontar al mismo porcentaje un lote que vence en un día y otro que vence en cinco.</w:t>
      </w:r>
    </w:p>
    <w:p>
      <w:pPr>
        <w:pStyle w:val="Heading3"/>
        <w:spacing w:before="220" w:after="154"/>
        <w:jc w:val="left"/>
      </w:pPr>
      <w:r>
        <w:rPr>
          <w:rFonts w:ascii="Segoe UI" w:hAnsi="Segoe UI"/>
          <w:b/>
          <w:color w:val="1A237E"/>
          <w:sz w:val="22"/>
        </w:rPr>
        <w:t>16.4 Cierre</w:t>
      </w:r>
    </w:p>
    <w:p>
      <w:pPr>
        <w:spacing w:after="147"/>
        <w:jc w:val="both"/>
      </w:pPr>
      <w:r>
        <w:rPr>
          <w:color w:val="212121"/>
          <w:sz w:val="21"/>
        </w:rPr>
        <w:t xml:space="preserve">El Avance 2 no se sostiene en una lista de pantallas sino en un conjunto de mediciones: </w:t>
      </w:r>
      <w:r>
        <w:rPr>
          <w:b/>
          <w:color w:val="212121"/>
          <w:sz w:val="21"/>
        </w:rPr>
        <w:t>139 comprobaciones ejecutadas sin fallos</w:t>
      </w:r>
      <w:r>
        <w:rPr>
          <w:color w:val="212121"/>
          <w:sz w:val="21"/>
        </w:rPr>
        <w:t xml:space="preserve"> —61 en el escenario, 5 en la verificación de persistencia y 73 en la prueba de humo de pantallas—, 108 alertas derivadas de reglas, 8 245 eventos de auditoría y un pronóstico con error declarado y almacenado. Cada una de esas cifras se puede reproducir ejecutando el comando correspondiente, y ninguna se escribió a mano en este documento.</w:t>
      </w:r>
    </w:p>
    <w:p>
      <w:bookmarkStart w:id="16" w:name="sec-17"/>
      <w:pPr>
        <w:pStyle w:val="Heading2"/>
        <w:spacing w:before="513" w:after="189"/>
        <w:jc w:val="left"/>
        <w:pBdr>
          <w:bottom w:val="single" w:sz="6" w:space="3" w:color="E0E0E0"/>
        </w:pBdr>
      </w:pPr>
      <w:bookmarkEnd w:id="16"/>
      <w:r>
        <w:rPr>
          <w:rFonts w:ascii="Segoe UI" w:hAnsi="Segoe UI"/>
          <w:b/>
          <w:color w:val="1565C0"/>
          <w:sz w:val="27"/>
        </w:rPr>
        <w:t>Anexo A — Cómo reproducir</w:t>
      </w:r>
    </w:p>
    <w:p>
      <w:pPr>
        <w:spacing w:after="147"/>
        <w:jc w:val="both"/>
      </w:pPr>
      <w:r>
        <w:rPr>
          <w:color w:val="212121"/>
          <w:sz w:val="21"/>
        </w:rPr>
        <w:t>Todos los comandos se ejecutan desde la raíz del proyecto, con el entorno virtual activo.</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Objetivo</w:t>
            </w:r>
          </w:p>
        </w:tc>
        <w:tc>
          <w:tcPr>
            <w:tcW w:type="dxa" w:w="432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Comando</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Crear el esquema desde cero</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python scripts/bootstrap_db.py</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Solo verificar objetos existentes</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python scripts/bootstrap_db.py --solo-verificar</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Cargar datos históricos</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python scripts/ETL.py</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Levantar la aplicación</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python run.py</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Ejecutar el guion completo</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python scripts/demo_avance2.py --escenario</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Verificar persistencia</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python scripts/demo_avance2.py --verificar</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Probar todas las pantallas</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python scripts/smoke_rutas.py</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Regenerar los diagramas</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rFonts w:ascii="Consolas" w:hAnsi="Consolas"/>
                <w:color w:val="212121"/>
                <w:sz w:val="18"/>
              </w:rPr>
              <w:t>python scripts/generar_diagramas.py</w:t>
            </w:r>
          </w:p>
        </w:tc>
      </w:tr>
    </w:tbl>
    <w:p>
      <w:pPr>
        <w:spacing w:after="147"/>
        <w:jc w:val="both"/>
      </w:pPr>
      <w:r>
        <w:rPr>
          <w:color w:val="212121"/>
          <w:sz w:val="21"/>
        </w:rPr>
        <w:t xml:space="preserve">Los archivos </w:t>
      </w:r>
      <w:r>
        <w:rPr>
          <w:rFonts w:ascii="Consolas" w:hAnsi="Consolas"/>
          <w:color w:val="1A237E"/>
          <w:sz w:val="18"/>
        </w:rPr>
        <w:t>Makefile</w:t>
      </w:r>
      <w:r>
        <w:rPr>
          <w:color w:val="212121"/>
          <w:sz w:val="21"/>
        </w:rPr>
        <w:t xml:space="preserve"> y </w:t>
      </w:r>
      <w:r>
        <w:rPr>
          <w:rFonts w:ascii="Consolas" w:hAnsi="Consolas"/>
          <w:color w:val="1A237E"/>
          <w:sz w:val="18"/>
        </w:rPr>
        <w:t>README.md</w:t>
      </w:r>
      <w:r>
        <w:rPr>
          <w:color w:val="212121"/>
          <w:sz w:val="21"/>
        </w:rPr>
        <w:t xml:space="preserve"> agrupan estos comandos en objetivos abreviados, e incluyen la variante con contenedores.</w:t>
      </w:r>
    </w:p>
    <w:p>
      <w:bookmarkStart w:id="17" w:name="sec-18"/>
      <w:pPr>
        <w:pStyle w:val="Heading2"/>
        <w:spacing w:before="513" w:after="189"/>
        <w:jc w:val="left"/>
        <w:pBdr>
          <w:bottom w:val="single" w:sz="6" w:space="3" w:color="E0E0E0"/>
        </w:pBdr>
      </w:pPr>
      <w:bookmarkEnd w:id="17"/>
      <w:r>
        <w:rPr>
          <w:rFonts w:ascii="Segoe UI" w:hAnsi="Segoe UI"/>
          <w:b/>
          <w:color w:val="1565C0"/>
          <w:sz w:val="27"/>
        </w:rPr>
        <w:t>Anexo B — Cuentas de demostración</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Rol</w:t>
            </w:r>
          </w:p>
        </w:tc>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Correo</w:t>
            </w:r>
          </w:p>
        </w:tc>
        <w:tc>
          <w:tcPr>
            <w:tcW w:type="dxa" w:w="2880"/>
            <w:tcBorders>
              <w:top w:val="single" w:sz="6" w:space="0" w:color="E0E0E0"/>
              <w:bottom w:val="single" w:sz="6" w:space="0" w:color="E0E0E0"/>
              <w:left w:val="single" w:sz="6" w:space="0" w:color="E0E0E0"/>
              <w:right w:val="single" w:sz="6" w:space="0" w:color="E0E0E0"/>
            </w:tcBorders>
            <w:shd w:val="clear" w:color="auto" w:fill="1565C0"/>
            <w:vAlign w:val="center"/>
            <w:tcMar>
              <w:top w:w="101" w:type="dxa"/>
              <w:bottom w:w="101" w:type="dxa"/>
              <w:left w:w="132" w:type="dxa"/>
              <w:right w:w="132" w:type="dxa"/>
            </w:tcMar>
          </w:tcPr>
          <w:p>
            <w:pPr>
              <w:jc w:val="left"/>
              <w:spacing w:line="240" w:lineRule="auto" w:before="45" w:after="45"/>
            </w:pPr>
            <w:r>
              <w:rPr>
                <w:rFonts w:ascii="Segoe UI" w:hAnsi="Segoe UI" w:eastAsia="Segoe UI"/>
                <w:b/>
                <w:color w:val="FFFFFF"/>
                <w:sz w:val="18"/>
              </w:rPr>
              <w:t>Estado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Administrador</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admin@freshtrack.mx</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Activo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Compras</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buyer@freshtrack.mx</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Activo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Planeación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planner@freshtrack.mx</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Activo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Gerente de tienda</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gerente@freshtrack.mx</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Activo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Almacén</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almacen@freshtrack.mx</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Activo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Proveedor</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proveedor@freshtrack.mx</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Activo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Auditor</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auditor@freshtrack.mx</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Activo</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Usuario deshabilitado</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color w:val="212121"/>
                <w:sz w:val="18"/>
              </w:rPr>
              <w:t>inactivo@freshtrack.mx</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32" w:type="dxa"/>
              <w:right w:w="132" w:type="dxa"/>
            </w:tcMar>
          </w:tcPr>
          <w:p>
            <w:pPr>
              <w:jc w:val="left"/>
              <w:spacing w:line="240" w:lineRule="auto" w:before="45" w:after="45"/>
            </w:pPr>
            <w:r>
              <w:rPr>
                <w:b/>
                <w:color w:val="212121"/>
                <w:sz w:val="18"/>
              </w:rPr>
              <w:t>Inactivo</w:t>
            </w:r>
          </w:p>
        </w:tc>
      </w:tr>
    </w:tbl>
    <w:p>
      <w:pPr>
        <w:spacing w:after="147"/>
        <w:jc w:val="both"/>
      </w:pPr>
      <w:r>
        <w:rPr>
          <w:color w:val="212121"/>
          <w:sz w:val="21"/>
        </w:rPr>
        <w:t xml:space="preserve">Las contraseñas se encuentran en la pantalla de login, que las lista para facilitar la evaluación, y en la tabla de cuentas del </w:t>
      </w:r>
      <w:r>
        <w:rPr>
          <w:rFonts w:ascii="Consolas" w:hAnsi="Consolas"/>
          <w:color w:val="1A237E"/>
          <w:sz w:val="18"/>
        </w:rPr>
        <w:t>README.md</w:t>
      </w:r>
      <w:r>
        <w:rPr>
          <w:color w:val="212121"/>
          <w:sz w:val="21"/>
        </w:rPr>
        <w:t xml:space="preserve">. El usuario </w:t>
      </w:r>
      <w:r>
        <w:rPr>
          <w:rFonts w:ascii="Consolas" w:hAnsi="Consolas"/>
          <w:color w:val="1A237E"/>
          <w:sz w:val="18"/>
        </w:rPr>
        <w:t>inactivo@freshtrack.mx</w:t>
      </w:r>
      <w:r>
        <w:rPr>
          <w:color w:val="212121"/>
          <w:sz w:val="21"/>
        </w:rPr>
        <w:t xml:space="preserve"> existe para demostrar que el sistema rechaza el acceso de cuentas deshabilitadas: sus credenciales son válidas, pero </w:t>
      </w:r>
      <w:r>
        <w:rPr>
          <w:rFonts w:ascii="Consolas" w:hAnsi="Consolas"/>
          <w:color w:val="1A237E"/>
          <w:sz w:val="18"/>
        </w:rPr>
        <w:t>estado_activo = false</w:t>
      </w:r>
      <w:r>
        <w:rPr>
          <w:color w:val="212121"/>
          <w:sz w:val="21"/>
        </w:rPr>
        <w:t xml:space="preserve"> impide el acceso.</w:t>
      </w:r>
    </w:p>
    <w:p>
      <w:bookmarkStart w:id="18" w:name="sec-19"/>
      <w:pPr>
        <w:pStyle w:val="Heading2"/>
        <w:spacing w:before="513" w:after="189"/>
        <w:jc w:val="left"/>
        <w:pBdr>
          <w:bottom w:val="single" w:sz="6" w:space="3" w:color="E0E0E0"/>
        </w:pBdr>
      </w:pPr>
      <w:bookmarkEnd w:id="18"/>
      <w:r>
        <w:rPr>
          <w:rFonts w:ascii="Segoe UI" w:hAnsi="Segoe UI"/>
          <w:b/>
          <w:color w:val="1565C0"/>
          <w:sz w:val="27"/>
        </w:rPr>
        <w:t>Anexo C — Estructura del repositorio</w:t>
      </w:r>
    </w:p>
    <w:p>
      <w:pPr>
        <w:jc w:val="left"/>
      </w:pPr>
      <w:r>
        <w:rPr>
          <w:rFonts w:ascii="Consolas" w:hAnsi="Consolas"/>
          <w:color w:val="212121"/>
          <w:sz w:val="18"/>
        </w:rPr>
        <w:t>ProyectoIAC/</w:t>
        <w:br/>
        <w:t>├── app/</w:t>
        <w:br/>
        <w:t>│   ├── __init__.py          factoría de la aplicación</w:t>
        <w:br/>
        <w:t>│   ├── config.py            variables obligatorias del entorno</w:t>
        <w:br/>
        <w:t>│   ├── db.py                motor, lectura y escritura</w:t>
        <w:br/>
        <w:t>│   ├── security.py          login, JWT, decoradores de permisos</w:t>
        <w:br/>
        <w:t>│   ├── navegacion.py        menú y matriz de permisos por rol</w:t>
        <w:br/>
        <w:t>│   ├── auditoria.py         registro de acciones de aplicación</w:t>
        <w:br/>
        <w:t>│   ├── blueprints/          publico, auth, catalogo, operacion,</w:t>
        <w:br/>
        <w:t>│   │                        analitica, panel, api</w:t>
        <w:br/>
        <w:t>│   ├── domain/              ventas, inventario, mermas, pronostico,</w:t>
        <w:br/>
        <w:t>│   │                        reabastecimiento, transferencias,</w:t>
        <w:br/>
        <w:t>│   │                        descuentos, alertas, kpis</w:t>
        <w:br/>
        <w:t>│   ├── repos/               catalogo.py</w:t>
        <w:br/>
        <w:t>│   ├── templates/           Jinja2, con _macros.html compartido</w:t>
        <w:br/>
        <w:t>│   └── static/css/          hoja de estilos</w:t>
        <w:br/>
        <w:t>├── sql/</w:t>
        <w:br/>
        <w:t>│   ├── 01…07                esquema, en orden de ejecución</w:t>
        <w:br/>
        <w:t>│   └── legacy/              volcados obsoletos, fuera del arranque</w:t>
        <w:br/>
        <w:t>├── scripts/</w:t>
        <w:br/>
        <w:t>│   ├── bootstrap_db.py      creación e idempotencia del esquema</w:t>
        <w:br/>
        <w:t>│   ├── ETL.py               carga masiva</w:t>
        <w:br/>
        <w:t>│   ├── demo_avance2.py      guion y verificación</w:t>
        <w:br/>
        <w:t>│   ├── smoke_rutas.py       prueba de humo de las 73 pantallas</w:t>
        <w:br/>
        <w:t>│   └── generar_diagramas.py los cinco diagramas de este reporte</w:t>
        <w:br/>
        <w:t>├── docs/diagramas/          diagramas en PNG</w:t>
        <w:br/>
        <w:t>├── docker-compose.yml       dos servicios con healthcheck</w:t>
        <w:br/>
        <w:t>├── Dockerfile</w:t>
        <w:br/>
        <w:t>├── Makefile</w:t>
        <w:br/>
        <w:t>├── env.example</w:t>
        <w:br/>
        <w:t>└── README.md</w:t>
      </w:r>
      <w:r/>
      <w:r/>
      <w:r/>
    </w:p>
    <w:sectPr w:rsidR="00FC693F" w:rsidRPr="0006063C" w:rsidSect="00034616">
      <w:footerReference w:type="default" r:id="rId14"/>
      <w:pgSz w:w="11906" w:h="16838"/>
      <w:pgMar w:top="1417" w:right="1417" w:bottom="1134"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 w:pos="907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6" w:lineRule="auto"/>
    </w:pPr>
    <w:rPr>
      <w:rFonts w:ascii="Segoe UI" w:hAnsi="Segoe UI" w:eastAsia="Segoe U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