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is normalized to a recognized Indian State or Union Territory from State Name/State first, then Check-In Location or Check-Out Location. Location text must contain the state/UT name; coordinates are not sent to an external geocoding service. Unrecognized or unavailable state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detail table appears directly below the report heading; uploader, source notes, KPI cards, and filters follow. Month, dates, BDO, state, managers, attendance status, and remarks filters apply to KPI cards, rows, and exports. CSV, Excel, and Print Filtered Report include all filtered rows. Screenshot View opens every matching row full-screen; Download Page Image saves the current page. The 13-column table supports sorting, pagination, and horizontal scrolling, with a blue title band, yellow identity headers, and green metric headers.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