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1.4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uses State Name or State. Missing columns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Counter Planned, Counters Planned, or Planned Counters. Conflicting or missing values remain unavailable.</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Distinct Type ID for Type DEALER + OTHER/OTHERS. Repeated IDs count once per employee-day. Missing Type ID values in qualifying rows make that subtotal unavailable.</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PENDING SOURCE DATA until a separate Secondary Orders workbook is inspected for verified order key, date, retailer and BDO mappings, and amount field. The existing Check-In Secondary Order Count and Basic Order Value are deliberately not substituted.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Month, start/end date, BDO, state, attendance status, and remarks/exception search apply to KPI cards, detail rows, CSV, and Excel exports. The export keeps the exact 13 detail columns in the displayed order; the table supports sorting, pagination, and horizontal scrolling.</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Achievement is Total Counters Visited ÷ Total Counters Planned × 100 when planned is greater than zero. Missing source values are not converted to zero.</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