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1.9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Assign one canonical Indian State/UT per employee-day, using the most frequent recognized State/State Name first, then the most frequent State/UT in Check-In/Check-Out Location. Filters therefore show individual names only. Location text must include a State/UT; coordinates are not sent externally. Unrecognized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order is heading/exports → filters → detail table → uploader, source notes, and KPI cards. Screenshot View in the heading opens all matching rows full-screen. Filters cover month, dates, BDO, state, managers, attendance, and remarks; they apply to cards, rows, and exports. CSV, Excel, and Print include all matches; Page Image saves the current page. The 13-column table supports sorting and pagination; cells are centered and columns scroll horizontally. Headers use blue, yellow, and green bands. Excel includes the merged blue report title, yellow identity headers, green metric headers, centered wrapped cells, grid borders, adjustable column widths, row alert shading, red rule-triggered values (check-in after 10:30, check-out before 19:30, work duration under 7 hours, and counters visited under 8), and brown pending or missing-source labels. The workbook is a formatted snapshot of all currently filtered rows.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