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1.7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uses State Name or State. Missing columns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Month, start/end date, BDO, state, Zonal Manager, Reporting Manager, attendance status, and remarks/exception search apply to KPI cards, detail rows, CSV, and Excel exports. The export keeps the exact 13 detail columns in the displayed order; the table supports sorting, pagination, and horizontal scrolling. The table uses a blue title band, yellow identity headers, and green metric headers as in the supplied reference.</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