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Assign one canonical Indian State/UT per employee-day, using the most frequent recognized State/State Name first, then the most frequent State/UT in Check-In/Check-Out Location. Filters therefore show individual names only. Location text must include a State/UT; coordinates are not sent externally. Unrecognized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order is heading/exports → filters → detail table → uploader, source notes, and KPI cards. Screenshot View in the heading opens all matching rows full-screen. Filters cover month, dates, BDO, state, managers, attendance, and remarks; they apply to cards, rows, and exports. CSV, Excel, and Print include all matches; Page Image saves the current page. The 13-column table supports sorting and pagination; cells are centered and columns scroll horizontally. Headers use blue, yellow, and green bands. Excel includes the merged blue report title, yellow identity headers, green metric headers, centered wrapped cells, grid borders, adjustable column widths, row alert shading, red rule-triggered values (check-in after 10:30, check-out before 19:30, work duration under 7 hours, and counters visited under 8), and brown pending or missing-source labels. SALE is displayed as a comma-separated whole number with no trailing decimal. The workbook is a formatted snapshot of all currently filtered rows.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