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2.1 · 31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In Weekly Sales Performance, use the individual question report list below the table to download a separate CSV or Excel report for each KPI, with all four weekly actuals and, for calculated KPIs, the Check-In rows and contribution values behind those actuals. The Actuals Detail CSV and Actuals Detail Excel buttons also download all KPIs together.</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for the selected month; the month picker includes the following 12 months even when no Check-In rows exist yet. Each month’s plan overrides are saved separately in this browser, so saving next month does not replace a prior month. For a future month without source rows, calculated actuals remain Pending.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 Displayed row note: Unique Manager + Territory employee/date pairs · Joint Working = YES, SECONDARY WITH BDO +SECONDARY WITH CP + SECONDARY WITH SENIOR = PLAN.</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per month; actual is typed manually and saved by month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per month; actual is typed manually and saved by month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Individual Question Actual Reports below the weekly table provide a separate CSV and Excel download for each of the eight KPIs. Each report includes the selected month’s four weekly actuals; calculated KPIs also include their qualifying Check-In source rows with contribution columns and rule. Manual retailer reports identify the entered values and explain that no Check-In source rows exist. The Actuals Detail CSV and Actuals Detail Excel buttons remain available for combined exports across every KPI. In the combined Excel workbook there is an Actual Summary plus separate detail tabs; the combined CSV starts with a weekly actual summary for every KPI/week, followed by combined source detail rows. The detail includes Check-In source row, date, employee identity/designation, Joint Working fields, Type/Type ID, secondary order fields, reported weekly actual, per-row contribution, and the KPI rule. Contribution fields can be summed by KPI and week to reconcile the displayed actual; distinct-count KPIs give duplicate rows a zero contribution. Manual retailer counts are labelled as user-entered values and do not have Check-In source rows. The W1 joint-working actual of 106 is reconciled by summing Employee-Date Contribution for Week 1.</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Assign one canonical Indian State/UT per employee-day, using the most frequent recognized State/State Name first, then the most frequent State/UT in Check-In/Check-Out Location. Filters therefore show individual names only. Location text must include a State/UT; coordinates are not sent externally. Unrecognized values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The order is heading/exports → filters → detail table → uploader, source notes, and KPI cards. Screenshot View in the heading opens all matching rows full-screen. Filters cover month, dates, BDO, state, managers, attendance, and remarks; they apply to cards, rows, and exports. CSV, Excel, and Print include all matches; Page Image saves the current page. The 13-column table supports sorting and pagination; cells are centered and columns scroll horizontally. Headers use blue, yellow, and green bands. Excel includes the merged blue report title, yellow identity headers, green metric headers, centered wrapped cells, grid borders, adjustable column widths, row alert shading, red rule-triggered values (check-in after 10:30, check-out before 19:30, work duration under 7 hours, and counters visited under 8), and brown pending or missing-source labels. SALE is displayed as a comma-separated whole number with no trailing decimal. The workbook is a formatted snapshot of all currently filtered rows.</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r>
        <w:br w:type="page"/>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retailers visited</w:t>
            </w:r>
          </w:p>
        </w:tc>
        <w:tc>
          <w:tcPr>
            <w:tcW w:type="dxa" w:w="6946"/>
            <w:vAlign w:val="center"/>
            <w:shd w:fill="F1F6FA"/>
          </w:tcPr>
          <w:p>
            <w:pPr>
              <w:spacing w:after="0" w:before="0"/>
            </w:pPr>
            <w:r/>
            <w:r>
              <w:rPr>
                <w:rFonts w:ascii="Aptos" w:hAnsi="Aptos"/>
                <w:b w:val="0"/>
                <w:color w:val="26384A"/>
                <w:sz w:val="16"/>
              </w:rPr>
              <w:t>The same qualifying source rows and count from the Manager + Territory Q.2 result.</w:t>
            </w:r>
          </w:p>
        </w:tc>
      </w:tr>
      <w:tr>
        <w:trPr>
          <w:cantSplit/>
        </w:trPr>
        <w:tc>
          <w:tcPr>
            <w:tcW w:type="dxa" w:w="2054"/>
            <w:vAlign w:val="center"/>
          </w:tcPr>
          <w:p>
            <w:pPr>
              <w:spacing w:after="0" w:before="0"/>
            </w:pPr>
            <w:r/>
            <w:r>
              <w:rPr>
                <w:rFonts w:ascii="Aptos" w:hAnsi="Aptos"/>
                <w:b w:val="0"/>
                <w:color w:val="26384A"/>
                <w:sz w:val="16"/>
              </w:rPr>
              <w:t>Weekly orders</w:t>
            </w:r>
          </w:p>
        </w:tc>
        <w:tc>
          <w:tcPr>
            <w:tcW w:type="dxa" w:w="6946"/>
            <w:vAlign w:val="center"/>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shd w:fill="F1F6FA"/>
          </w:tcPr>
          <w:p>
            <w:pPr>
              <w:spacing w:after="0" w:before="0"/>
            </w:pPr>
            <w:r/>
            <w:r>
              <w:rPr>
                <w:rFonts w:ascii="Aptos" w:hAnsi="Aptos"/>
                <w:b w:val="0"/>
                <w:color w:val="26384A"/>
                <w:sz w:val="16"/>
              </w:rPr>
              <w:t>Weekly amount / AOV</w:t>
            </w:r>
          </w:p>
        </w:tc>
        <w:tc>
          <w:tcPr>
            <w:tcW w:type="dxa" w:w="6946"/>
            <w:vAlign w:val="center"/>
            <w:shd w:fill="F1F6FA"/>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tcPr>
          <w:p>
            <w:pPr>
              <w:spacing w:after="0" w:before="0"/>
            </w:pPr>
            <w:r/>
            <w:r>
              <w:rPr>
                <w:rFonts w:ascii="Aptos" w:hAnsi="Aptos"/>
                <w:b w:val="0"/>
                <w:color w:val="26384A"/>
                <w:sz w:val="16"/>
              </w:rPr>
              <w:t>Weekly actual audit contributions</w:t>
            </w:r>
          </w:p>
        </w:tc>
        <w:tc>
          <w:tcPr>
            <w:tcW w:type="dxa" w:w="6946"/>
            <w:vAlign w:val="center"/>
          </w:tcPr>
          <w:p>
            <w:pPr>
              <w:spacing w:after="0" w:before="0"/>
            </w:pPr>
            <w:r/>
            <w:r>
              <w:rPr>
                <w:rFonts w:ascii="Aptos" w:hAnsi="Aptos"/>
                <w:b w:val="0"/>
                <w:color w:val="26384A"/>
                <w:sz w:val="16"/>
              </w:rPr>
              <w:t>SSP and employee-days contribute 1 for the first distinct identity/key and 0 for duplicate rows; retailer visits contribute 1 per Q.2 row; order count contributes 1 for the first qualifying Type ID per week; amount contributes Basic Order Value per qualifying row. AOV exports both amount and unique retailer contributions.</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Exports have no Check-In source row.</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