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1.0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Q2 unique Channel Partner report, and Q2 weekly distributor-group validation panel.</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manual retailer actuals, and Secondary Sales workbook uploader/audit.</w:t>
            </w:r>
          </w:p>
        </w:tc>
        <w:tc>
          <w:tcPr>
            <w:tcW w:type="dxa" w:w="3322"/>
            <w:vAlign w:val="center"/>
            <w:shd w:fill="F1F6FA"/>
          </w:tcPr>
          <w:p>
            <w:pPr>
              <w:spacing w:after="0" w:before="0"/>
            </w:pPr>
            <w:r/>
            <w:r>
              <w:rPr>
                <w:rFonts w:ascii="Aptos" w:hAnsi="Aptos"/>
                <w:b w:val="0"/>
                <w:color w:val="26384A"/>
                <w:sz w:val="16"/>
              </w:rPr>
              <w:t>Check-In workbook; Secondary Sales workbook for its own parsed report panel.</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in the same browser profile where its saved Check-In file and plans are maintained. Use the Download Dashboard SOP link in the page footer to retrieve the current published procedure.</w:t>
      </w:r>
    </w:p>
    <w:p>
      <w:pPr>
        <w:pStyle w:val="ListBullet"/>
        <w:spacing w:after="40"/>
      </w:pPr>
      <w:r>
        <w:t>Upload the current Check-In / Check-Out workbook. The app parses it in the browser and saves the primary workbook in that browser when local IndexedDB is available. On a later visit, it attempts to reload that saved file automatically.</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For Weekly Sales Performance, use the Secondary Sales Report uploader only when you need that separate secondary-order report panel. The workbook requires a Basic order value/Basic Amount field and a date field; Date Created is preferred for weekly bucketing.</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r>
        <w:t>Browser storage is local to that browser/device. The Check-In workbook persists in IndexedDB when supported. Weekly plans, old/new retailer manual actuals, and appearance are stored in local browser storage. Attendance, Dealer Master, and the separate Secondary Sales file should be re-uploaded if they are not present after a browser restart.</w:t>
      </w:r>
    </w:p>
    <w:p>
      <w:pPr>
        <w:pStyle w:val="Heading1"/>
        <w:keepNext/>
      </w:pPr>
      <w:r>
        <w:t>3.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4.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r>
        <w:trPr>
          <w:cantSplit/>
        </w:trPr>
        <w:tc>
          <w:tcPr>
            <w:tcW w:type="dxa" w:w="2174"/>
            <w:vAlign w:val="center"/>
          </w:tcPr>
          <w:p>
            <w:pPr>
              <w:spacing w:after="0" w:before="0"/>
            </w:pPr>
            <w:r/>
            <w:r>
              <w:rPr>
                <w:rFonts w:ascii="Aptos" w:hAnsi="Aptos"/>
                <w:b w:val="0"/>
                <w:color w:val="26384A"/>
                <w:sz w:val="16"/>
              </w:rPr>
              <w:t>Q2 weekly distributor-group audit</w:t>
            </w:r>
          </w:p>
        </w:tc>
        <w:tc>
          <w:tcPr>
            <w:tcW w:type="dxa" w:w="3262"/>
            <w:vAlign w:val="center"/>
          </w:tcPr>
          <w:p>
            <w:pPr>
              <w:spacing w:after="0" w:before="0"/>
            </w:pPr>
            <w:r/>
            <w:r>
              <w:rPr>
                <w:rFonts w:ascii="Aptos" w:hAnsi="Aptos"/>
                <w:b w:val="0"/>
                <w:color w:val="26384A"/>
                <w:sz w:val="16"/>
              </w:rPr>
              <w:t>Uses the Joint Working buckets above.</w:t>
            </w:r>
          </w:p>
        </w:tc>
        <w:tc>
          <w:tcPr>
            <w:tcW w:type="dxa" w:w="3564"/>
            <w:vAlign w:val="center"/>
          </w:tcPr>
          <w:p>
            <w:pPr>
              <w:spacing w:after="0" w:before="0"/>
            </w:pPr>
            <w:r/>
            <w:r>
              <w:rPr>
                <w:rFonts w:ascii="Aptos" w:hAnsi="Aptos"/>
                <w:b w:val="0"/>
                <w:color w:val="26384A"/>
                <w:sz w:val="16"/>
              </w:rPr>
              <w:t>The panel also exposes a day-15 boundary check for the 8–15 week.</w:t>
            </w:r>
          </w:p>
        </w:tc>
      </w:tr>
    </w:tbl>
    <w:p>
      <w:pPr>
        <w:spacing w:after="20"/>
      </w:pPr>
    </w:p>
    <w:p>
      <w:r>
        <w:t>These current rules supersede older notes/screenshots that showed 8–14, 16–22, or 23–month-end. Do not mix those historical bucket labels into the current reports.</w:t>
      </w:r>
    </w:p>
    <w:p>
      <w:pPr>
        <w:pStyle w:val="Heading1"/>
        <w:keepNext/>
      </w:pPr>
      <w:r>
        <w:t>5.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5.1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5.2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6. Q1–Q2 Reports tab</w:t>
      </w:r>
    </w:p>
    <w:p>
      <w:r>
        <w:t>This report family has its own configuration. It is distinct from the Manager-only KPI, even where labels look similar. The tab currently contains the Manager + Territory Q1/Q2 report and a separate reference-pivot Q2 weekly distributor-group audit.</w:t>
      </w:r>
    </w:p>
    <w:p>
      <w:pPr>
        <w:pStyle w:val="Heading2"/>
        <w:keepNext/>
      </w:pPr>
      <w:r>
        <w:t>6.1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6.2 Q2 · Unique Channel Partners of Managers</w:t>
      </w:r>
    </w:p>
    <w:p>
      <w:pPr>
        <w:pStyle w:val="ListBullet"/>
        <w:spacing w:after="40"/>
      </w:pPr>
      <w:r>
        <w:t>Uses the dedicated Manager-only Q1 configuration, not the Manager + Territory list: approved Manager Sales User designation,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2"/>
        <w:keepNext/>
      </w:pPr>
      <w:r>
        <w:t>6.3 Q2 weekly distributor groups reference audit</w:t>
      </w:r>
    </w:p>
    <w:p>
      <w:r>
        <w:t>A second Q2 validation panel reproduces a reference pivot using its own designation list. It filters Type = CHANNEL PARTNER and excludes the four configured Zonal Manager values. The counted grouping key is Senior Sales User + Designation + normalized Distributor Identifier + Type, within a week. Thus the same distributor can form separate groups for different senior users or designations; this is not the global-unique rule used by section 6.2.</w:t>
      </w:r>
    </w:p>
    <w:p>
      <w:r>
        <w:t>The panel reports raw weekly rows, rows passing eligibility, blank identifiers, missing senior identity, removed duplicates, unique groups, repeated-group examples, designation/type breakdowns, day-15 boundary analysis, and source-row inclusion/exclusion reasons. It may display “expected pending” or “source data missing” when its reference values or required headers are unavailable.</w:t>
      </w:r>
    </w:p>
    <w:p>
      <w:pPr>
        <w:pStyle w:val="Heading1"/>
        <w:keepNext/>
      </w:pPr>
      <w:r>
        <w:t>7.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The separate Secondary Sales workbook uploader is not the current formula source for these Check-In-based order actuals. It parses its own workbook for its report/audit panel. That workbook must contain Basic order value (Excel column V; legacy Basic Amount accepted) and a date column; Date Created is the preferred date field. Do not substitute its amounts into the Weekly Sales Performance actuals unless the business rule is explicitly changed.</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8.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9.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10.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11.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12.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Sales Report</w:t>
            </w:r>
          </w:p>
        </w:tc>
        <w:tc>
          <w:tcPr>
            <w:tcW w:type="dxa" w:w="3020"/>
            <w:vAlign w:val="center"/>
            <w:shd w:fill="F1F6FA"/>
          </w:tcPr>
          <w:p>
            <w:pPr>
              <w:spacing w:after="0" w:before="0"/>
            </w:pPr>
            <w:r/>
            <w:r>
              <w:rPr>
                <w:rFonts w:ascii="Aptos" w:hAnsi="Aptos"/>
                <w:b w:val="0"/>
                <w:color w:val="26384A"/>
                <w:sz w:val="16"/>
              </w:rPr>
              <w:t>Separate order workbook panel/audit in Weekly Sales Performance.</w:t>
            </w:r>
          </w:p>
        </w:tc>
        <w:tc>
          <w:tcPr>
            <w:tcW w:type="dxa" w:w="3987"/>
            <w:vAlign w:val="center"/>
            <w:shd w:fill="F1F6FA"/>
          </w:tcPr>
          <w:p>
            <w:pPr>
              <w:spacing w:after="0" w:before="0"/>
            </w:pPr>
            <w:r/>
            <w:r>
              <w:rPr>
                <w:rFonts w:ascii="Aptos" w:hAnsi="Aptos"/>
                <w:b w:val="0"/>
                <w:color w:val="26384A"/>
                <w:sz w:val="16"/>
              </w:rPr>
              <w:t>Basic order value / Basic Amount and Date Created or another recognized date header are required. Date Created is used first when present.</w:t>
            </w:r>
          </w:p>
        </w:tc>
      </w:tr>
    </w:tbl>
    <w:p>
      <w:pPr>
        <w:spacing w:after="20"/>
      </w:pPr>
    </w:p>
    <w:p>
      <w:r>
        <w:t>The app processes Excel/CSV in the browser. Check-In data is saved locally in the browser when supported.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13.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global distributor by week (selected Q2), or Senior + designation + distributor + type group (reference Q2 audit).</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w:t>
      </w:r>
    </w:p>
    <w:p>
      <w:pPr>
        <w:pStyle w:val="Heading2"/>
        <w:keepNext/>
      </w:pPr>
      <w:r>
        <w:t>A6. Q2 weekly distributor reference audit list</w:t>
      </w:r>
    </w:p>
    <w:p>
      <w:r>
        <w:t>AGM-SALES; ASSISTANT MANAGER-SALES; ASSISTANT MANAGER-SALES (4); ASSISTANT MANAGER-SALES (NBD) (4); DEPUTY MANAGER-SALES; DEPUTY MANAGER-SALES (4); DGM-SALES; MANAGER-SALES; MANAGER-SALES (4); SR.MANAGER-SALES (9); TERRITORY SALES INCHARGE; TERRITORY SALES MANAGER; TERRITORY SALES MANAGER (4); TERRITORY SALES OFFICER; TERRITORY SALES OFFICER (4).</w:t>
      </w:r>
    </w:p>
    <w:p>
      <w:r>
        <w:t>The current source list for this reference audit is report-specific and may not contain every designation present in the general Manager + Territory list.</w:t>
      </w:r>
    </w:p>
    <w:p>
      <w:pPr>
        <w:pStyle w:val="Heading2"/>
        <w:keepNext/>
      </w:pPr>
      <w:r>
        <w:t>A7. Zonal Managers excluded from the reports that specify exclusions</w:t>
      </w:r>
    </w:p>
    <w:p>
      <w:r>
        <w:t>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Q2 pivot audit</w:t>
            </w:r>
          </w:p>
        </w:tc>
        <w:tc>
          <w:tcPr>
            <w:tcW w:type="dxa" w:w="6946"/>
            <w:vAlign w:val="center"/>
            <w:shd w:fill="F1F6FA"/>
          </w:tcPr>
          <w:p>
            <w:pPr>
              <w:spacing w:after="0" w:before="0"/>
            </w:pPr>
            <w:r/>
            <w:r>
              <w:rPr>
                <w:rFonts w:ascii="Aptos" w:hAnsi="Aptos"/>
                <w:b w:val="0"/>
                <w:color w:val="26384A"/>
                <w:sz w:val="16"/>
              </w:rPr>
              <w:t>Count(distinct Senior + designation + distributor identifier + Type) group per week.</w:t>
            </w:r>
          </w:p>
        </w:tc>
      </w:tr>
      <w:tr>
        <w:trPr>
          <w:cantSplit/>
        </w:trPr>
        <w:tc>
          <w:tcPr>
            <w:tcW w:type="dxa" w:w="2054"/>
            <w:vAlign w:val="center"/>
          </w:tcPr>
          <w:p>
            <w:pPr>
              <w:spacing w:after="0" w:before="0"/>
            </w:pPr>
            <w:r/>
            <w:r>
              <w:rPr>
                <w:rFonts w:ascii="Aptos" w:hAnsi="Aptos"/>
                <w:b w:val="0"/>
                <w:color w:val="26384A"/>
                <w:sz w:val="16"/>
              </w:rPr>
              <w:t>Weekly SSP</w:t>
            </w:r>
          </w:p>
        </w:tc>
        <w:tc>
          <w:tcPr>
            <w:tcW w:type="dxa" w:w="6946"/>
            <w:vAlign w:val="center"/>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joint-working days</w:t>
            </w:r>
          </w:p>
        </w:tc>
        <w:tc>
          <w:tcPr>
            <w:tcW w:type="dxa" w:w="6946"/>
            <w:vAlign w:val="center"/>
            <w:shd w:fill="F1F6FA"/>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tcPr>
          <w:p>
            <w:pPr>
              <w:spacing w:after="0" w:before="0"/>
            </w:pPr>
            <w:r/>
            <w:r>
              <w:rPr>
                <w:rFonts w:ascii="Aptos" w:hAnsi="Aptos"/>
                <w:b w:val="0"/>
                <w:color w:val="26384A"/>
                <w:sz w:val="16"/>
              </w:rPr>
              <w:t>Weekly orders</w:t>
            </w:r>
          </w:p>
        </w:tc>
        <w:tc>
          <w:tcPr>
            <w:tcW w:type="dxa" w:w="6946"/>
            <w:vAlign w:val="center"/>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shd w:fill="F1F6FA"/>
          </w:tcPr>
          <w:p>
            <w:pPr>
              <w:spacing w:after="0" w:before="0"/>
            </w:pPr>
            <w:r/>
            <w:r>
              <w:rPr>
                <w:rFonts w:ascii="Aptos" w:hAnsi="Aptos"/>
                <w:b w:val="0"/>
                <w:color w:val="26384A"/>
                <w:sz w:val="16"/>
              </w:rPr>
              <w:t>Weekly amount / AOV</w:t>
            </w:r>
          </w:p>
        </w:tc>
        <w:tc>
          <w:tcPr>
            <w:tcW w:type="dxa" w:w="6946"/>
            <w:vAlign w:val="center"/>
            <w:shd w:fill="F1F6FA"/>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tcPr>
          <w:p>
            <w:pPr>
              <w:spacing w:after="0" w:before="0"/>
            </w:pPr>
            <w:r/>
            <w:r>
              <w:rPr>
                <w:rFonts w:ascii="Aptos" w:hAnsi="Aptos"/>
                <w:b w:val="0"/>
                <w:color w:val="26384A"/>
                <w:sz w:val="16"/>
              </w:rPr>
              <w:t>Retailer manual actuals</w:t>
            </w:r>
          </w:p>
        </w:tc>
        <w:tc>
          <w:tcPr>
            <w:tcW w:type="dxa" w:w="6946"/>
            <w:vAlign w:val="center"/>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