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is normalized to a recognized Indian State or Union Territory from State Name/State first, then Check-In Location or Check-Out Location. Location text must contain the state/UT name; coordinates are not sent to an external geocoding service. Unrecognized or unavailable state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report heading and export controls are followed by filters, then the detail table. Screenshot View is in the report heading and opens every matching row full-screen. The uploader, source notes, and KPI cards follow the table. Month, dates, BDO, state, managers, attendance status, and remarks filters apply to KPI cards, rows, and exports. CSV, Excel, and Print Filtered Report include all filtered rows; Download Page Image saves the current page. The 13-column table supports sorting, pagination, and horizontal scrolling, with a blue title band, yellow identity headers, and green metric headers.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