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Assign one canonical Indian State/UT per employee-day, using the most frequent recognized State/State Name first, then the most frequent State/UT in Check-In/Check-Out Location. Filters therefore show individual names only. Location text must include a State/UT; coordinates are not sent externally. Unrecognized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order is heading/exports → filters → detail table → uploader, source notes, and KPI cards. Screenshot View in the heading opens all matching rows full-screen. Filters cover month, dates, BDO, state, managers, attendance, and remarks; they apply to cards, rows, and exports. CSV, Excel, and Print include all matches; Page Image saves the current page. The 13-column table supports sorting and pagination; cells are centered and columns scroll horizontally. Headers use blue, yellow, and green bands.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