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1.9 · 24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and Q2 unique Channel Partner report.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and manual retailer actuals.</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CHECKIN-OUT REPORT</w:t>
            </w:r>
          </w:p>
        </w:tc>
        <w:tc>
          <w:tcPr>
            <w:tcW w:type="dxa" w:w="3805"/>
            <w:vAlign w:val="center"/>
          </w:tcPr>
          <w:p>
            <w:pPr>
              <w:spacing w:after="0" w:before="0"/>
            </w:pPr>
            <w:r/>
            <w:r>
              <w:rPr>
                <w:rFonts w:ascii="Aptos" w:hAnsi="Aptos"/>
                <w:b w:val="0"/>
                <w:color w:val="26384A"/>
                <w:sz w:val="16"/>
              </w:rPr>
              <w:t>Employee-day attendance and visit-category summary with filters and exports.</w:t>
            </w:r>
          </w:p>
        </w:tc>
        <w:tc>
          <w:tcPr>
            <w:tcW w:type="dxa" w:w="3322"/>
            <w:vAlign w:val="center"/>
          </w:tcPr>
          <w:p>
            <w:pPr>
              <w:spacing w:after="0" w:before="0"/>
            </w:pPr>
            <w:r/>
            <w:r>
              <w:rPr>
                <w:rFonts w:ascii="Aptos" w:hAnsi="Aptos"/>
                <w:b w:val="0"/>
                <w:color w:val="26384A"/>
                <w:sz w:val="16"/>
              </w:rPr>
              <w:t>Existing Check-In workbook; orders and sales await a verified Secondary Orders source.</w:t>
            </w:r>
          </w:p>
        </w:tc>
      </w:tr>
      <w:tr>
        <w:trPr>
          <w:cantSplit/>
        </w:trPr>
        <w:tc>
          <w:tcPr>
            <w:tcW w:type="dxa" w:w="1872"/>
            <w:vAlign w:val="center"/>
            <w:shd w:fill="F1F6FA"/>
          </w:tcPr>
          <w:p>
            <w:pPr>
              <w:spacing w:after="0" w:before="0"/>
            </w:pPr>
            <w:r/>
            <w:r>
              <w:rPr>
                <w:rFonts w:ascii="Aptos" w:hAnsi="Aptos"/>
                <w:b w:val="0"/>
                <w:color w:val="26384A"/>
                <w:sz w:val="16"/>
              </w:rPr>
              <w:t>Employee Tour Plan</w:t>
            </w:r>
          </w:p>
        </w:tc>
        <w:tc>
          <w:tcPr>
            <w:tcW w:type="dxa" w:w="3805"/>
            <w:vAlign w:val="center"/>
            <w:shd w:fill="F1F6FA"/>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shd w:fill="F1F6FA"/>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A new browser tab shows the branded welcome image. Click Login to enter the dashboard; the welcome screen remains dismissed on refresh in that same tab and appears again when a new tab is opened after closing it. This is a start screen, not a credential check.</w:t>
      </w:r>
    </w:p>
    <w:p>
      <w:pPr>
        <w:pStyle w:val="ListBullet"/>
        <w:spacing w:after="40"/>
      </w:pPr>
      <w:r>
        <w:t>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Weekly Sales Performance order count and amount use Check-In rows only; there is no separate Secondary Sales uploader in the dashboard.</w:t>
      </w:r>
    </w:p>
    <w:p>
      <w:pPr>
        <w:pStyle w:val="ListBullet"/>
        <w:spacing w:after="40"/>
      </w:pPr>
      <w:r>
        <w:t>CHECKIN-OUT REPORT reuses the same Check-In upload. Its order count and sale remain pending until the separate Secondary Orders source is inspected and connected.</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pPr>
        <w:pStyle w:val="Heading1"/>
        <w:keepNext/>
      </w:pPr>
      <w:r>
        <w:t>3. Welcome screen and tab behavior</w:t>
      </w:r>
    </w:p>
    <w:p>
      <w:r>
        <w:t>Each new browser tab starts on a branded welcome screen using the Check-In Route Analytics artwork, fitted in full without cropping. A prominent blue Login button sits above the screen midpoint. Login opens the dashboard and records dismissal in that tab’s sessionStorage. Refreshing the same tab keeps the dashboard open; closing the tab ends that session, so a newly opened tab shows the welcome screen again. The Login button is a navigation/start control and does not verify credentials.</w:t>
      </w:r>
    </w:p>
    <w:p>
      <w:pPr>
        <w:pStyle w:val="Heading1"/>
        <w:keepNext/>
      </w:pPr>
      <w:r>
        <w:t>4. Uploaded data and saved settings</w:t>
      </w:r>
    </w:p>
    <w:p>
      <w:r>
        <w:t>Uploaded Check-In, Attendance, and Dealer Master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5.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6.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bl>
    <w:p>
      <w:pPr>
        <w:spacing w:after="20"/>
      </w:pPr>
    </w:p>
    <w:p>
      <w:r>
        <w:t>These current rules supersede older notes/screenshots that showed 8–14, 16–22, or 23–month-end. Do not mix those historical bucket labels into the current reports.</w:t>
      </w:r>
    </w:p>
    <w:p>
      <w:pPr>
        <w:pStyle w:val="Heading1"/>
        <w:keepNext/>
      </w:pPr>
      <w:r>
        <w:t>7.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7.1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7.2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8. Q1–Q2 Reports tab</w:t>
      </w:r>
    </w:p>
    <w:p>
      <w:r>
        <w:t>This report family has its own configuration, separate from the Manager-only KPI. The tab contains the dedicated Manager + Territory Q1 visit-day report and Q2 unique Channel Partner report. The original Manager-only Joint Working KPI remains on its own tab; its additional Manager-only table and the separate Q2 reference-pivot validation are not shown in this report view.</w:t>
      </w:r>
    </w:p>
    <w:p>
      <w:pPr>
        <w:pStyle w:val="Heading2"/>
        <w:keepNext/>
      </w:pPr>
      <w:r>
        <w:t>8.1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8.2 Q2 · Unique Channel Partners</w:t>
      </w:r>
    </w:p>
    <w:p>
      <w:pPr>
        <w:pStyle w:val="ListBullet"/>
        <w:spacing w:after="40"/>
      </w:pPr>
      <w:r>
        <w:t>Uses the configured Q3 Senior designation list (Appendix A5),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1"/>
        <w:keepNext/>
      </w:pPr>
      <w:r>
        <w:t>9. Weekly Sales Performance</w:t>
      </w:r>
    </w:p>
    <w:p>
      <w:r>
        <w:t>This is a plan-versus-actual table with eight KPIs and four weekly buckets. Plans are editable per week for the selected month; the month picker includes the following 12 months even when no Check-In rows exist yet. Each month’s plan overrides are saved separately in this browser, so saving next month does not replace a prior month. For a future month without source rows, calculated actuals remain Pending.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is the sum of distinct Manager + Territory employee/date pairs from Secondary Check-In rows with Joint Working = YES: BDO matches the approved Joint Working Designation list, CP uses Type = CHANNEL PARTNER, and Senior matches the approved senior designation list. The weekly actual displays the BDO, CP, and Senior subtotals below the sum; a pair can appear in multiple categories if it matches multiple rules.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per month; actual is typed manually and saved by month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per month; actual is typed manually and saved by month in this browser. Blank actual displays Pending.</w:t>
            </w:r>
          </w:p>
        </w:tc>
      </w:tr>
    </w:tbl>
    <w:p>
      <w:pPr>
        <w:spacing w:after="20"/>
      </w:pPr>
    </w:p>
    <w:p>
      <w:r>
        <w:t>Weekly order count and amount are calculated from the Check-In report only, using Joint Working and Secondary sales fields. The dashboard no longer includes a separate Secondary Sales workbook uploader; Basic Order Value and secondary order evidence in the Check-In source continue to drive these actuals.</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10.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11.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12.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13.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14. CHECKIN-OUT REPORT</w:t>
      </w:r>
    </w:p>
    <w:p>
      <w:r>
        <w:t>This is a separate navigation tab and does not change the Q1–Q3 Reports Dashboard, Manager-only Joint Working KPI, or Weekly Sales Performance calculations. It reuses the currently loaded Check-In workbook and adds no mandatory upload.</w:t>
      </w:r>
    </w:p>
    <w:tbl>
      <w:tblPr>
        <w:tblStyle w:val="TableGrid"/>
        <w:tblW w:type="dxa" w:w="9000"/>
        <w:jc w:val="center"/>
        <w:tblLayout w:type="fixed"/>
        <w:tblLook w:firstColumn="1" w:firstRow="1" w:lastColumn="0" w:lastRow="0" w:noHBand="0" w:noVBand="1" w:val="04A0"/>
      </w:tblPr>
      <w:tblGrid>
        <w:gridCol w:w="2477"/>
        <w:gridCol w:w="6523"/>
      </w:tblGrid>
      <w:tr>
        <w:trPr>
          <w:tblHeader w:val="true"/>
          <w:cantSplit/>
        </w:trPr>
        <w:tc>
          <w:tcPr>
            <w:tcW w:type="dxa" w:w="4997"/>
            <w:vAlign w:val="center"/>
            <w:shd w:fill="176B87"/>
          </w:tcPr>
          <w:p>
            <w:pPr>
              <w:spacing w:after="0" w:before="0"/>
            </w:pPr>
            <w:r/>
            <w:r>
              <w:rPr>
                <w:rFonts w:ascii="Aptos" w:hAnsi="Aptos"/>
                <w:b/>
                <w:color w:val="FFFFFF"/>
                <w:sz w:val="16"/>
              </w:rPr>
              <w:t>Report field</w:t>
            </w:r>
          </w:p>
        </w:tc>
        <w:tc>
          <w:tcPr>
            <w:tcW w:type="dxa" w:w="4997"/>
            <w:vAlign w:val="center"/>
            <w:shd w:fill="176B87"/>
          </w:tcPr>
          <w:p>
            <w:pPr>
              <w:spacing w:after="0" w:before="0"/>
            </w:pPr>
            <w:r/>
            <w:r>
              <w:rPr>
                <w:rFonts w:ascii="Aptos" w:hAnsi="Aptos"/>
                <w:b/>
                <w:color w:val="FFFFFF"/>
                <w:sz w:val="16"/>
              </w:rPr>
              <w:t>Source mapping and calculation</w:t>
            </w:r>
          </w:p>
        </w:tc>
      </w:tr>
      <w:tr>
        <w:trPr>
          <w:cantSplit/>
        </w:trPr>
        <w:tc>
          <w:tcPr>
            <w:tcW w:type="dxa" w:w="2477"/>
            <w:vAlign w:val="center"/>
          </w:tcPr>
          <w:p>
            <w:pPr>
              <w:spacing w:after="0" w:before="0"/>
            </w:pPr>
            <w:r/>
            <w:r>
              <w:rPr>
                <w:rFonts w:ascii="Aptos" w:hAnsi="Aptos"/>
                <w:b w:val="0"/>
                <w:color w:val="26384A"/>
                <w:sz w:val="16"/>
              </w:rPr>
              <w:t>DATE / Month</w:t>
            </w:r>
          </w:p>
        </w:tc>
        <w:tc>
          <w:tcPr>
            <w:tcW w:type="dxa" w:w="6523"/>
            <w:vAlign w:val="center"/>
          </w:tcPr>
          <w:p>
            <w:pPr>
              <w:spacing w:after="0" w:before="0"/>
            </w:pPr>
            <w:r/>
            <w:r>
              <w:rPr>
                <w:rFonts w:ascii="Aptos" w:hAnsi="Aptos"/>
                <w:b w:val="0"/>
                <w:color w:val="26384A"/>
                <w:sz w:val="16"/>
              </w:rPr>
              <w:t>Date; Month is derived from the parsed date.</w:t>
            </w:r>
          </w:p>
        </w:tc>
      </w:tr>
      <w:tr>
        <w:trPr>
          <w:cantSplit/>
        </w:trPr>
        <w:tc>
          <w:tcPr>
            <w:tcW w:type="dxa" w:w="2477"/>
            <w:vAlign w:val="center"/>
            <w:shd w:fill="F1F6FA"/>
          </w:tcPr>
          <w:p>
            <w:pPr>
              <w:spacing w:after="0" w:before="0"/>
            </w:pPr>
            <w:r/>
            <w:r>
              <w:rPr>
                <w:rFonts w:ascii="Aptos" w:hAnsi="Aptos"/>
                <w:b w:val="0"/>
                <w:color w:val="26384A"/>
                <w:sz w:val="16"/>
              </w:rPr>
              <w:t>BDO NAME / STATE NAME</w:t>
            </w:r>
          </w:p>
        </w:tc>
        <w:tc>
          <w:tcPr>
            <w:tcW w:type="dxa" w:w="6523"/>
            <w:vAlign w:val="center"/>
            <w:shd w:fill="F1F6FA"/>
          </w:tcPr>
          <w:p>
            <w:pPr>
              <w:spacing w:after="0" w:before="0"/>
            </w:pPr>
            <w:r/>
            <w:r>
              <w:rPr>
                <w:rFonts w:ascii="Aptos" w:hAnsi="Aptos"/>
                <w:b w:val="0"/>
                <w:color w:val="26384A"/>
                <w:sz w:val="16"/>
              </w:rPr>
              <w:t>BDO NAME uses Sales User Name (or BDO Name). Assign one canonical Indian State/UT per employee-day, using the most frequent recognized State/State Name first, then the most frequent State/UT in Check-In/Check-Out Location. Filters therefore show individual names only. Location text must include a State/UT; coordinates are not sent externally. Unrecognized values display SOURCE DATA REQUIRED.</w:t>
            </w:r>
          </w:p>
        </w:tc>
      </w:tr>
      <w:tr>
        <w:trPr>
          <w:cantSplit/>
        </w:trPr>
        <w:tc>
          <w:tcPr>
            <w:tcW w:type="dxa" w:w="2477"/>
            <w:vAlign w:val="center"/>
          </w:tcPr>
          <w:p>
            <w:pPr>
              <w:spacing w:after="0" w:before="0"/>
            </w:pPr>
            <w:r/>
            <w:r>
              <w:rPr>
                <w:rFonts w:ascii="Aptos" w:hAnsi="Aptos"/>
                <w:b w:val="0"/>
                <w:color w:val="26384A"/>
                <w:sz w:val="16"/>
              </w:rPr>
              <w:t>CHECK IN TIME / CHECK OUT TIME</w:t>
            </w:r>
          </w:p>
        </w:tc>
        <w:tc>
          <w:tcPr>
            <w:tcW w:type="dxa" w:w="6523"/>
            <w:vAlign w:val="center"/>
          </w:tcPr>
          <w:p>
            <w:pPr>
              <w:spacing w:after="0" w:before="0"/>
            </w:pPr>
            <w:r/>
            <w:r>
              <w:rPr>
                <w:rFonts w:ascii="Aptos" w:hAnsi="Aptos"/>
                <w:b w:val="0"/>
                <w:color w:val="26384A"/>
                <w:sz w:val="16"/>
              </w:rPr>
              <w:t>Check In / Check In Time and Check Out / Check Out Time. Employee-day displays the earliest valid check-in and latest valid check-out.</w:t>
            </w:r>
          </w:p>
        </w:tc>
      </w:tr>
      <w:tr>
        <w:trPr>
          <w:cantSplit/>
        </w:trPr>
        <w:tc>
          <w:tcPr>
            <w:tcW w:type="dxa" w:w="2477"/>
            <w:vAlign w:val="center"/>
            <w:shd w:fill="F1F6FA"/>
          </w:tcPr>
          <w:p>
            <w:pPr>
              <w:spacing w:after="0" w:before="0"/>
            </w:pPr>
            <w:r/>
            <w:r>
              <w:rPr>
                <w:rFonts w:ascii="Aptos" w:hAnsi="Aptos"/>
                <w:b w:val="0"/>
                <w:color w:val="26384A"/>
                <w:sz w:val="16"/>
              </w:rPr>
              <w:t>TOTAL WORKING TIME</w:t>
            </w:r>
          </w:p>
        </w:tc>
        <w:tc>
          <w:tcPr>
            <w:tcW w:type="dxa" w:w="6523"/>
            <w:vAlign w:val="center"/>
            <w:shd w:fill="F1F6FA"/>
          </w:tcPr>
          <w:p>
            <w:pPr>
              <w:spacing w:after="0" w:before="0"/>
            </w:pPr>
            <w:r/>
            <w:r>
              <w:rPr>
                <w:rFonts w:ascii="Aptos" w:hAnsi="Aptos"/>
                <w:b w:val="0"/>
                <w:color w:val="26384A"/>
                <w:sz w:val="16"/>
              </w:rPr>
              <w:t>Elapsed span from earliest valid check-in to latest valid check-out for the employee-day; valid daily spans are summed. Average divides that total by employee-day rows with both valid timestamps and a nonnegative span no longer than 18 hours.</w:t>
            </w:r>
          </w:p>
        </w:tc>
      </w:tr>
      <w:tr>
        <w:trPr>
          <w:cantSplit/>
        </w:trPr>
        <w:tc>
          <w:tcPr>
            <w:tcW w:type="dxa" w:w="2477"/>
            <w:vAlign w:val="center"/>
          </w:tcPr>
          <w:p>
            <w:pPr>
              <w:spacing w:after="0" w:before="0"/>
            </w:pPr>
            <w:r/>
            <w:r>
              <w:rPr>
                <w:rFonts w:ascii="Aptos" w:hAnsi="Aptos"/>
                <w:b w:val="0"/>
                <w:color w:val="26384A"/>
                <w:sz w:val="16"/>
              </w:rPr>
              <w:t>COUNTER PLANNED</w:t>
            </w:r>
          </w:p>
        </w:tc>
        <w:tc>
          <w:tcPr>
            <w:tcW w:type="dxa" w:w="6523"/>
            <w:vAlign w:val="center"/>
          </w:tcPr>
          <w:p>
            <w:pPr>
              <w:spacing w:after="0" w:before="0"/>
            </w:pPr>
            <w:r/>
            <w:r>
              <w:rPr>
                <w:rFonts w:ascii="Aptos" w:hAnsi="Aptos"/>
                <w:b w:val="0"/>
                <w:color w:val="26384A"/>
                <w:sz w:val="16"/>
              </w:rPr>
              <w:t>Fixed at 10 per employee-day; the workbook Counter Planned column is not used for this report.</w:t>
            </w:r>
          </w:p>
        </w:tc>
      </w:tr>
      <w:tr>
        <w:trPr>
          <w:cantSplit/>
        </w:trPr>
        <w:tc>
          <w:tcPr>
            <w:tcW w:type="dxa" w:w="2477"/>
            <w:vAlign w:val="center"/>
            <w:shd w:fill="F1F6FA"/>
          </w:tcPr>
          <w:p>
            <w:pPr>
              <w:spacing w:after="0" w:before="0"/>
            </w:pPr>
            <w:r/>
            <w:r>
              <w:rPr>
                <w:rFonts w:ascii="Aptos" w:hAnsi="Aptos"/>
                <w:b w:val="0"/>
                <w:color w:val="26384A"/>
                <w:sz w:val="16"/>
              </w:rPr>
              <w:t>COUNTER VISITED</w:t>
            </w:r>
          </w:p>
        </w:tc>
        <w:tc>
          <w:tcPr>
            <w:tcW w:type="dxa" w:w="6523"/>
            <w:vAlign w:val="center"/>
            <w:shd w:fill="F1F6FA"/>
          </w:tcPr>
          <w:p>
            <w:pPr>
              <w:spacing w:after="0" w:before="0"/>
            </w:pPr>
            <w:r/>
            <w:r>
              <w:rPr>
                <w:rFonts w:ascii="Aptos" w:hAnsi="Aptos"/>
                <w:b w:val="0"/>
                <w:color w:val="26384A"/>
                <w:sz w:val="16"/>
              </w:rPr>
              <w:t>Count Check-In source rows whose Type is DEALER or OTHER/OTHERS within the employee-day. This uses the Check-In Type field only; Type ID is not required for Counter Visited.</w:t>
            </w:r>
          </w:p>
        </w:tc>
      </w:tr>
      <w:tr>
        <w:trPr>
          <w:cantSplit/>
        </w:trPr>
        <w:tc>
          <w:tcPr>
            <w:tcW w:type="dxa" w:w="2477"/>
            <w:vAlign w:val="center"/>
          </w:tcPr>
          <w:p>
            <w:pPr>
              <w:spacing w:after="0" w:before="0"/>
            </w:pPr>
            <w:r/>
            <w:r>
              <w:rPr>
                <w:rFonts w:ascii="Aptos" w:hAnsi="Aptos"/>
                <w:b w:val="0"/>
                <w:color w:val="26384A"/>
                <w:sz w:val="16"/>
              </w:rPr>
              <w:t>CP VISIT</w:t>
            </w:r>
          </w:p>
        </w:tc>
        <w:tc>
          <w:tcPr>
            <w:tcW w:type="dxa" w:w="6523"/>
            <w:vAlign w:val="center"/>
          </w:tcPr>
          <w:p>
            <w:pPr>
              <w:spacing w:after="0" w:before="0"/>
            </w:pPr>
            <w:r/>
            <w:r>
              <w:rPr>
                <w:rFonts w:ascii="Aptos" w:hAnsi="Aptos"/>
                <w:b w:val="0"/>
                <w:color w:val="26384A"/>
                <w:sz w:val="16"/>
              </w:rPr>
              <w:t>Distinct Type ID for Type CHANNEL PARTNER + DIRECT DEALER, counted separately from counters. Type ID is required for this unique count.</w:t>
            </w:r>
          </w:p>
        </w:tc>
      </w:tr>
      <w:tr>
        <w:trPr>
          <w:cantSplit/>
        </w:trPr>
        <w:tc>
          <w:tcPr>
            <w:tcW w:type="dxa" w:w="2477"/>
            <w:vAlign w:val="center"/>
            <w:shd w:fill="F1F6FA"/>
          </w:tcPr>
          <w:p>
            <w:pPr>
              <w:spacing w:after="0" w:before="0"/>
            </w:pPr>
            <w:r/>
            <w:r>
              <w:rPr>
                <w:rFonts w:ascii="Aptos" w:hAnsi="Aptos"/>
                <w:b w:val="0"/>
                <w:color w:val="26384A"/>
                <w:sz w:val="16"/>
              </w:rPr>
              <w:t>TOTAL ORDER COUNT / SALE</w:t>
            </w:r>
          </w:p>
        </w:tc>
        <w:tc>
          <w:tcPr>
            <w:tcW w:type="dxa" w:w="6523"/>
            <w:vAlign w:val="center"/>
            <w:shd w:fill="F1F6FA"/>
          </w:tcPr>
          <w:p>
            <w:pPr>
              <w:spacing w:after="0" w:before="0"/>
            </w:pPr>
            <w:r/>
            <w:r>
              <w:rPr>
                <w:rFonts w:ascii="Aptos" w:hAnsi="Aptos"/>
                <w:b w:val="0"/>
                <w:color w:val="26384A"/>
                <w:sz w:val="16"/>
              </w:rPr>
              <w:t>Upload the separate Secondary Orders Excel/CSV in the uploader on this same tab. Order count is distinct Order ID / Order No / Invoice No matched to a Check-In employee-day by Date Created + employee ID (name fallback only when ID is missing). SALE sums Basic order value (Excel column V; legacy Basic Amount accepted) only. Other amount fields are ignored.</w:t>
            </w:r>
          </w:p>
        </w:tc>
      </w:tr>
      <w:tr>
        <w:trPr>
          <w:cantSplit/>
        </w:trPr>
        <w:tc>
          <w:tcPr>
            <w:tcW w:type="dxa" w:w="2477"/>
            <w:vAlign w:val="center"/>
          </w:tcPr>
          <w:p>
            <w:pPr>
              <w:spacing w:after="0" w:before="0"/>
            </w:pPr>
            <w:r/>
            <w:r>
              <w:rPr>
                <w:rFonts w:ascii="Aptos" w:hAnsi="Aptos"/>
                <w:b w:val="0"/>
                <w:color w:val="26384A"/>
                <w:sz w:val="16"/>
              </w:rPr>
              <w:t>REMARKS</w:t>
            </w:r>
          </w:p>
        </w:tc>
        <w:tc>
          <w:tcPr>
            <w:tcW w:type="dxa" w:w="6523"/>
            <w:vAlign w:val="center"/>
          </w:tcPr>
          <w:p>
            <w:pPr>
              <w:spacing w:after="0" w:before="0"/>
            </w:pPr>
            <w:r/>
            <w:r>
              <w:rPr>
                <w:rFonts w:ascii="Aptos" w:hAnsi="Aptos"/>
                <w:b w:val="0"/>
                <w:color w:val="26384A"/>
                <w:sz w:val="16"/>
              </w:rPr>
              <w:t>Remark or Remarks; distinct nonblank notes from the employee-day are retained.</w:t>
            </w:r>
          </w:p>
        </w:tc>
      </w:tr>
      <w:tr>
        <w:trPr>
          <w:cantSplit/>
        </w:trPr>
        <w:tc>
          <w:tcPr>
            <w:tcW w:type="dxa" w:w="2477"/>
            <w:vAlign w:val="center"/>
            <w:shd w:fill="F1F6FA"/>
          </w:tcPr>
          <w:p>
            <w:pPr>
              <w:spacing w:after="0" w:before="0"/>
            </w:pPr>
            <w:r/>
            <w:r>
              <w:rPr>
                <w:rFonts w:ascii="Aptos" w:hAnsi="Aptos"/>
                <w:b w:val="0"/>
                <w:color w:val="26384A"/>
                <w:sz w:val="16"/>
              </w:rPr>
              <w:t>Quality checks</w:t>
            </w:r>
          </w:p>
        </w:tc>
        <w:tc>
          <w:tcPr>
            <w:tcW w:type="dxa" w:w="6523"/>
            <w:vAlign w:val="center"/>
            <w:shd w:fill="F1F6FA"/>
          </w:tcPr>
          <w:p>
            <w:pPr>
              <w:spacing w:after="0" w:before="0"/>
            </w:pPr>
            <w:r/>
            <w:r>
              <w:rPr>
                <w:rFonts w:ascii="Aptos" w:hAnsi="Aptos"/>
                <w:b w:val="0"/>
                <w:color w:val="26384A"/>
                <w:sz w:val="16"/>
              </w:rPr>
              <w:t>00:00:00 requires source-convention validation and is not counted as valid. Negative spans and spans above 18 hours are flagged for review; source rows are not deleted. Red conditional formatting marks Check In after 10:30 AM, Check Out before 7:30 PM, working time below 7 hours, or Counter Visited below 8. Missing/invalid times do not trigger time-threshold formatting.</w:t>
            </w:r>
          </w:p>
        </w:tc>
      </w:tr>
      <w:tr>
        <w:trPr>
          <w:cantSplit/>
        </w:trPr>
        <w:tc>
          <w:tcPr>
            <w:tcW w:type="dxa" w:w="2477"/>
            <w:vAlign w:val="center"/>
          </w:tcPr>
          <w:p>
            <w:pPr>
              <w:spacing w:after="0" w:before="0"/>
            </w:pPr>
            <w:r/>
            <w:r>
              <w:rPr>
                <w:rFonts w:ascii="Aptos" w:hAnsi="Aptos"/>
                <w:b w:val="0"/>
                <w:color w:val="26384A"/>
                <w:sz w:val="16"/>
              </w:rPr>
              <w:t>Filters and exports</w:t>
            </w:r>
          </w:p>
        </w:tc>
        <w:tc>
          <w:tcPr>
            <w:tcW w:type="dxa" w:w="6523"/>
            <w:vAlign w:val="center"/>
          </w:tcPr>
          <w:p>
            <w:pPr>
              <w:spacing w:after="0" w:before="0"/>
            </w:pPr>
            <w:r/>
            <w:r>
              <w:rPr>
                <w:rFonts w:ascii="Aptos" w:hAnsi="Aptos"/>
                <w:b w:val="0"/>
                <w:color w:val="26384A"/>
                <w:sz w:val="16"/>
              </w:rPr>
              <w:t>The order is heading/exports → filters → detail table → uploader, source notes, and KPI cards. Screenshot View in the heading opens all matching rows full-screen. Filters cover month, dates, BDO, state, managers, attendance, and remarks; they apply to cards, rows, and exports. CSV, Excel, and Print include all matches; Page Image saves the current page. The 13-column table supports sorting and pagination; cells are centered and columns scroll horizontally. Headers use blue, yellow, and green bands. Excel includes the merged blue report title, yellow identity headers, green metric headers, centered wrapped cells, grid borders, adjustable column widths, row alert shading, red rule-triggered values (check-in after 10:30, check-out before 19:30, work duration under 7 hours, and counters visited under 8), and brown pending or missing-source labels. SALE is displayed as a comma-separated whole number with no trailing decimal. The workbook is a formatted snapshot of all currently filtered rows.</w:t>
            </w:r>
          </w:p>
        </w:tc>
      </w:tr>
    </w:tbl>
    <w:p>
      <w:pPr>
        <w:spacing w:after="20"/>
      </w:pPr>
    </w:p>
    <w:p>
      <w:r>
        <w:t>KPI cards show Unique BDOs, Employee-day records, Valid Check-Ins, Valid Check-Outs, Total and Average Working Time, Total Counters Planned, Total Counters Visited, Counter Achievement %, Total CP Visits, Total Order Count, Total Sales, and records with missing/invalid attendance timestamps. Counter Planned is 10 for each employee-day. Counter Achievement is Total Counters Visited ÷ Total Counters Planned × 100 when planned is greater than zero. Missing source values are not converted to zero. For secondary orders, rows outside the uploaded file date range remain pending; rows within the range with no matched order show zero. Duplicate Order IDs are counted once, unmatched orders are excluded and reported in uploader audit counts, and missing Basic Order Value prevents a complete sales total.</w:t>
      </w:r>
    </w:p>
    <w:p>
      <w:pPr>
        <w:pStyle w:val="Heading1"/>
        <w:keepNext/>
      </w:pPr>
      <w:r>
        <w:t>15.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r>
        <w:trPr>
          <w:cantSplit/>
        </w:trPr>
        <w:tc>
          <w:tcPr>
            <w:tcW w:type="dxa" w:w="1993"/>
            <w:vAlign w:val="center"/>
            <w:shd w:fill="F1F6FA"/>
          </w:tcPr>
          <w:p>
            <w:pPr>
              <w:spacing w:after="0" w:before="0"/>
            </w:pPr>
            <w:r/>
            <w:r>
              <w:rPr>
                <w:rFonts w:ascii="Aptos" w:hAnsi="Aptos"/>
                <w:b w:val="0"/>
                <w:color w:val="26384A"/>
                <w:sz w:val="16"/>
              </w:rPr>
              <w:t>Secondary Orders (optional, on CHECKIN-OUT REPORT)</w:t>
            </w:r>
          </w:p>
        </w:tc>
        <w:tc>
          <w:tcPr>
            <w:tcW w:type="dxa" w:w="3020"/>
            <w:vAlign w:val="center"/>
            <w:shd w:fill="F1F6FA"/>
          </w:tcPr>
          <w:p>
            <w:pPr>
              <w:spacing w:after="0" w:before="0"/>
            </w:pPr>
            <w:r/>
            <w:r>
              <w:rPr>
                <w:rFonts w:ascii="Aptos" w:hAnsi="Aptos"/>
                <w:b w:val="0"/>
                <w:color w:val="26384A"/>
                <w:sz w:val="16"/>
              </w:rPr>
              <w:t>Total Order Count and SALE in the Check-In Check-Out report.</w:t>
            </w:r>
          </w:p>
        </w:tc>
        <w:tc>
          <w:tcPr>
            <w:tcW w:type="dxa" w:w="3987"/>
            <w:vAlign w:val="center"/>
            <w:shd w:fill="F1F6FA"/>
          </w:tcPr>
          <w:p>
            <w:pPr>
              <w:spacing w:after="0" w:before="0"/>
            </w:pPr>
            <w:r/>
            <w:r>
              <w:rPr>
                <w:rFonts w:ascii="Aptos" w:hAnsi="Aptos"/>
                <w:b w:val="0"/>
                <w:color w:val="26384A"/>
                <w:sz w:val="16"/>
              </w:rPr>
              <w:t>Requires a unique Order ID/Order No/Invoice No, Date Created or a supported order date, employee ID or sales user name, and Basic order value (Excel V). The upload is browser-memory only and is cleared on refresh/close.</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16.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or global distributor by week (Q2).</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 Reports specifying Zonal Manager exclusions also omit SHOBHIT GOEL; OTHERS; ARCHIT GARG; SHANTANU ATTARY.</w:t>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Weekly SSP</w:t>
            </w:r>
          </w:p>
        </w:tc>
        <w:tc>
          <w:tcPr>
            <w:tcW w:type="dxa" w:w="6946"/>
            <w:vAlign w:val="center"/>
            <w:shd w:fill="F1F6FA"/>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tcPr>
          <w:p>
            <w:pPr>
              <w:spacing w:after="0" w:before="0"/>
            </w:pPr>
            <w:r/>
            <w:r>
              <w:rPr>
                <w:rFonts w:ascii="Aptos" w:hAnsi="Aptos"/>
                <w:b w:val="0"/>
                <w:color w:val="26384A"/>
                <w:sz w:val="16"/>
              </w:rPr>
              <w:t>Weekly joint-working days</w:t>
            </w:r>
          </w:p>
        </w:tc>
        <w:tc>
          <w:tcPr>
            <w:tcW w:type="dxa" w:w="6946"/>
            <w:vAlign w:val="center"/>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orders</w:t>
            </w:r>
          </w:p>
        </w:tc>
        <w:tc>
          <w:tcPr>
            <w:tcW w:type="dxa" w:w="6946"/>
            <w:vAlign w:val="center"/>
            <w:shd w:fill="F1F6FA"/>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tcPr>
          <w:p>
            <w:pPr>
              <w:spacing w:after="0" w:before="0"/>
            </w:pPr>
            <w:r/>
            <w:r>
              <w:rPr>
                <w:rFonts w:ascii="Aptos" w:hAnsi="Aptos"/>
                <w:b w:val="0"/>
                <w:color w:val="26384A"/>
                <w:sz w:val="16"/>
              </w:rPr>
              <w:t>Weekly amount / AOV</w:t>
            </w:r>
          </w:p>
        </w:tc>
        <w:tc>
          <w:tcPr>
            <w:tcW w:type="dxa" w:w="6946"/>
            <w:vAlign w:val="center"/>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shd w:fill="F1F6FA"/>
          </w:tcPr>
          <w:p>
            <w:pPr>
              <w:spacing w:after="0" w:before="0"/>
            </w:pPr>
            <w:r/>
            <w:r>
              <w:rPr>
                <w:rFonts w:ascii="Aptos" w:hAnsi="Aptos"/>
                <w:b w:val="0"/>
                <w:color w:val="26384A"/>
                <w:sz w:val="16"/>
              </w:rPr>
              <w:t>Retailer manual actuals</w:t>
            </w:r>
          </w:p>
        </w:tc>
        <w:tc>
          <w:tcPr>
            <w:tcW w:type="dxa" w:w="6946"/>
            <w:vAlign w:val="center"/>
            <w:shd w:fill="F1F6FA"/>
          </w:tcPr>
          <w:p>
            <w:pPr>
              <w:spacing w:after="0" w:before="0"/>
            </w:pPr>
            <w:r/>
            <w:r>
              <w:rPr>
                <w:rFonts w:ascii="Aptos" w:hAnsi="Aptos"/>
                <w:b w:val="0"/>
                <w:color w:val="26384A"/>
                <w:sz w:val="16"/>
              </w:rPr>
              <w:t>Entered by a user per week; blank is Pending. Not computed from Check-In.</w:t>
            </w:r>
          </w:p>
        </w:tc>
      </w:tr>
      <w:tr>
        <w:trPr>
          <w:cantSplit/>
        </w:trPr>
        <w:tc>
          <w:tcPr>
            <w:tcW w:type="dxa" w:w="2054"/>
            <w:vAlign w:val="center"/>
          </w:tcPr>
          <w:p>
            <w:pPr>
              <w:spacing w:after="0" w:before="0"/>
            </w:pPr>
            <w:r/>
            <w:r>
              <w:rPr>
                <w:rFonts w:ascii="Aptos" w:hAnsi="Aptos"/>
                <w:b w:val="0"/>
                <w:color w:val="26384A"/>
                <w:sz w:val="16"/>
              </w:rPr>
              <w:t>Check-In/Check-Out employee-day</w:t>
            </w:r>
          </w:p>
        </w:tc>
        <w:tc>
          <w:tcPr>
            <w:tcW w:type="dxa" w:w="6946"/>
            <w:vAlign w:val="center"/>
          </w:tcPr>
          <w:p>
            <w:pPr>
              <w:spacing w:after="0" w:before="0"/>
            </w:pPr>
            <w:r/>
            <w:r>
              <w:rPr>
                <w:rFonts w:ascii="Aptos" w:hAnsi="Aptos"/>
                <w:b w:val="0"/>
                <w:color w:val="26384A"/>
                <w:sz w:val="16"/>
              </w:rPr>
              <w:t>Group by Emp ID + parsed date. Rows without an Emp ID remain separate rather than being deduplicated by BDO name + date; unique BDO display may still use normalized names.</w:t>
            </w:r>
          </w:p>
        </w:tc>
      </w:tr>
      <w:tr>
        <w:trPr>
          <w:cantSplit/>
        </w:trPr>
        <w:tc>
          <w:tcPr>
            <w:tcW w:type="dxa" w:w="2054"/>
            <w:vAlign w:val="center"/>
            <w:shd w:fill="F1F6FA"/>
          </w:tcPr>
          <w:p>
            <w:pPr>
              <w:spacing w:after="0" w:before="0"/>
            </w:pPr>
            <w:r/>
            <w:r>
              <w:rPr>
                <w:rFonts w:ascii="Aptos" w:hAnsi="Aptos"/>
                <w:b w:val="0"/>
                <w:color w:val="26384A"/>
                <w:sz w:val="16"/>
              </w:rPr>
              <w:t>Counter / CP visits</w:t>
            </w:r>
          </w:p>
        </w:tc>
        <w:tc>
          <w:tcPr>
            <w:tcW w:type="dxa" w:w="6946"/>
            <w:vAlign w:val="center"/>
            <w:shd w:fill="F1F6FA"/>
          </w:tcPr>
          <w:p>
            <w:pPr>
              <w:spacing w:after="0" w:before="0"/>
            </w:pPr>
            <w:r/>
            <w:r>
              <w:rPr>
                <w:rFonts w:ascii="Aptos" w:hAnsi="Aptos"/>
                <w:b w:val="0"/>
                <w:color w:val="26384A"/>
                <w:sz w:val="16"/>
              </w:rPr>
              <w:t>Distinct Type ID by employee-day: DEALER + OTHER/OTHERS for counters; CHANNEL PARTNER + DIRECT DEALER for CP visits.</w:t>
            </w:r>
          </w:p>
        </w:tc>
      </w:tr>
      <w:tr>
        <w:trPr>
          <w:cantSplit/>
        </w:trPr>
        <w:tc>
          <w:tcPr>
            <w:tcW w:type="dxa" w:w="2054"/>
            <w:vAlign w:val="center"/>
          </w:tcPr>
          <w:p>
            <w:pPr>
              <w:spacing w:after="0" w:before="0"/>
            </w:pPr>
            <w:r/>
            <w:r>
              <w:rPr>
                <w:rFonts w:ascii="Aptos" w:hAnsi="Aptos"/>
                <w:b w:val="0"/>
                <w:color w:val="26384A"/>
                <w:sz w:val="16"/>
              </w:rPr>
              <w:t>Check-In/Check-Out working time</w:t>
            </w:r>
          </w:p>
        </w:tc>
        <w:tc>
          <w:tcPr>
            <w:tcW w:type="dxa" w:w="6946"/>
            <w:vAlign w:val="center"/>
          </w:tcPr>
          <w:p>
            <w:pPr>
              <w:spacing w:after="0" w:before="0"/>
            </w:pPr>
            <w:r/>
            <w:r>
              <w:rPr>
                <w:rFonts w:ascii="Aptos" w:hAnsi="Aptos"/>
                <w:b w:val="0"/>
                <w:color w:val="26384A"/>
                <w:sz w:val="16"/>
              </w:rPr>
              <w:t>Earliest valid Check In to latest valid Check Out; daily spans over 18 hours and negative spans are excluded from valid total and flagged.</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