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for the selected month; the month picker includes the following 12 months even when no Check-In rows exist yet. Each month’s plan overrides are saved separately in this browser, so saving next month does not replace a prior month. For a future month without source rows, calculated actuals remain Pending.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per month; actual is typed manually and saved by month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per month; actual is typed manually and saved by month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Assign one canonical Indian State/UT per employee-day, using the most frequent recognized State/State Name first, then the most frequent State/UT in Check-In/Check-Out Location. Filters therefore show individual names only. Location text must include a State/UT; coordinates are not sent externally. Unrecognized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order is heading/exports → filters → detail table → uploader, source notes, and KPI cards. Screenshot View in the heading opens all matching rows full-screen. Filters cover month, dates, BDO, state, managers, attendance, and remarks; they apply to cards, rows, and exports. CSV, Excel, and Print include all matches; Page Image saves the current page. The 13-column table supports sorting and pagination; cells are centered and columns scroll horizontally. Headers use blue, yellow, and green bands. Excel includes the merged blue report title, yellow identity headers, green metric headers, centered wrapped cells, grid borders, adjustable column widths, row alert shading, red rule-triggered values (check-in after 10:30, check-out before 19:30, work duration under 7 hours, and counters visited under 8), and brown pending or missing-source labels. SALE is displayed as a comma-separated whole number with no trailing decimal. The workbook is a formatted snapshot of all currently filtered rows.</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