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after="100" w:line="240" w:lineRule="auto"/>
        <w:jc w:val="both"/>
        <w:rPr>
          <w:rStyle w:val="23"/>
          <w:i w:val="0"/>
          <w:iCs w:val="0"/>
          <w:sz w:val="32"/>
          <w:szCs w:val="32"/>
          <w:lang w:val="sr-Latn-BA"/>
        </w:rPr>
      </w:pPr>
      <w:r>
        <w:rPr>
          <w:rStyle w:val="23"/>
          <w:i w:val="0"/>
          <w:iCs w:val="0"/>
          <w:sz w:val="32"/>
          <w:szCs w:val="32"/>
          <w:lang w:val="sr-Latn-BA"/>
        </w:rPr>
        <w:t xml:space="preserve">„Burnout” ili izgaranje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Ako ste u produženom stanju stresa a svaki dan je „loš dan” kojeg većinu utrošite na zadatke koji se čine dosadni ili iznimno nebitni, ako je briga o poslu ili kućnom životu postala gubljenje energije i imate utisak kao da ono što radite nije cijenjeno i ništa ne mijenja, dok sebe doživljavate kao bespomoćnu, razočaranu i stalno iscrpenu osobu možda ste na putu ka stanju koje se naziva </w:t>
      </w:r>
      <w:r>
        <w:rPr>
          <w:rStyle w:val="23"/>
          <w:i w:val="0"/>
          <w:iCs w:val="0"/>
          <w:lang w:val="sr-Latn-BA"/>
        </w:rPr>
        <w:t xml:space="preserve">„burnout” </w:t>
      </w:r>
      <w:r>
        <w:rPr>
          <w:rStyle w:val="23"/>
          <w:b w:val="0"/>
          <w:bCs w:val="0"/>
          <w:i w:val="0"/>
          <w:iCs w:val="0"/>
          <w:lang w:val="sr-Latn-BA"/>
        </w:rPr>
        <w:t>ili</w:t>
      </w:r>
      <w:r>
        <w:rPr>
          <w:rStyle w:val="23"/>
          <w:i w:val="0"/>
          <w:iCs w:val="0"/>
          <w:lang w:val="sr-Latn-BA"/>
        </w:rPr>
        <w:t xml:space="preserve"> 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izgaranje. </w:t>
      </w: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>Što je „burnout” ili izgaranje?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Burnout je stanje emocionalne, mentalne i fizičke iscrpenosti pretežno uzrokovane </w:t>
      </w:r>
      <w:r>
        <w:fldChar w:fldCharType="begin"/>
      </w:r>
      <w:r>
        <w:instrText xml:space="preserve"> HYPERLINK "https://translate.google.com/translate?hl=hr&amp;prev=_t&amp;sl=auto&amp;tl=hr&amp;u=https://www.helpguide.org/articles/stress/stress-symptoms-signs-and-causes.htm"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pretjeranim i dugotrajnim stresom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>. Kod ovakvog stanja je smanjena produktivnost bez obzira na povećan trud, motivacija zbog koje je započeta određena aktivnost je zagubljena, a osoba postaje beznadna, cinična i ogorčena dok sebe smatra nesposobnom udovoljiti zahtjevima okoline i razvija doživljaj beskorisnosti.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Učinak izgaranja je negativan na porodicu, posao i društveni život kao i na tjelesno zdravlje osobe čineći je osjetljivijom na bolesti koje nastaju kod oslabljene imune odbrane organizma (npr. prehlada i grip, koronarne bolesti).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Termin „burnout” u psihologiju uveo je </w:t>
      </w:r>
      <w:r>
        <w:fldChar w:fldCharType="begin"/>
      </w:r>
      <w:r>
        <w:instrText xml:space="preserve"> HYPERLINK "http://en.wikipedia.org/w/index.php?title=Herbert_Freudenberger"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H. Frojdenberger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vjerojatno na temelju romana „</w:t>
      </w:r>
      <w:r>
        <w:fldChar w:fldCharType="begin"/>
      </w:r>
      <w:r>
        <w:instrText xml:space="preserve"> HYPERLINK "http://en.wikipedia.org/w/index.php?title=A_Burnt-Out_Case"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Burnout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Case”, </w:t>
      </w:r>
      <w:r>
        <w:fldChar w:fldCharType="begin"/>
      </w:r>
      <w:r>
        <w:instrText xml:space="preserve"> HYPERLINK "http://en.wikipedia.org/w/index.php?title=Graham_Greene"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Grejama Grina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iz 1960. Godine.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Psiholozi </w:t>
      </w:r>
      <w:r>
        <w:t xml:space="preserve">K. Maslah </w:t>
      </w:r>
      <w:r>
        <w:rPr>
          <w:rStyle w:val="23"/>
          <w:b w:val="0"/>
          <w:bCs w:val="0"/>
          <w:i w:val="0"/>
          <w:iCs w:val="0"/>
          <w:lang w:val="sr-Latn-BA"/>
        </w:rPr>
        <w:t>i S. Džekson su uspostavili su konstrukt „burnout” sedamdesetih godina i razvili skalu koja mjeri uticaj</w:t>
      </w:r>
      <w:r>
        <w:fldChar w:fldCharType="begin"/>
      </w:r>
      <w:r>
        <w:instrText xml:space="preserve"> HYPERLINK "http://en.wikipedia.org/w/index.php?title=Emotional_exhaustion"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emocionalne iscrpljenosti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i smanjenog osjećaja ličnog postignuća. MBI (Maslach „Burnout” Inventory) koristi trodimenzionalni opis iscrpljenosti, </w:t>
      </w:r>
      <w:r>
        <w:fldChar w:fldCharType="begin"/>
      </w:r>
      <w:r>
        <w:instrText xml:space="preserve"> HYPERLINK "http://en.wikipedia.org/w/index.php?title=Cynicism_%28contemporary%29"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cinizma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i nedjelotvornosti. Taj instrument je uobičajen alat za mjerenje „burnouta” pri istraživanju tog stanja.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Maslach i Lejter su kao suprotno od „burnouta”, okarakterisanog iscrpljenošću, cinizmom i nedjelotvornošću, postavili entuzijazam, koji karakteriše energija, uključenost i </w:t>
      </w:r>
      <w:r>
        <w:fldChar w:fldCharType="begin"/>
      </w:r>
      <w:r>
        <w:instrText xml:space="preserve"> HYPERLINK "http://en.wikipedia.org/w/index.php?title=Efficacy"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efikasnost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>Razlika između stresa i izgaranja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Izgaranje je, između ostalog, rezultat produženog stresa, ali mnogo stresa ne izaziva uvijek izgaranje.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Stres prati stresore - zadatke i „pritiske” koji fizički i psihički traže mnogo od osobe, ali neko izložen stresorima i dalje se može osjećati dovoljno dobro ako ima dojam da su okolnosti „pod kontrolom” ili barem sagledive. S druge strane, kod „burnouta” osoba se doživljava praznom i mentalno iscrpenom, lišenom motivacije i nebitnom, a nadu u pozitivne promjene ne vidi.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Osoba je obično svjesna kada je snažnom stresu, a veoma je moguće da ne prepoznaje „burnout” . Koliko je neko blizu stanju izgaranja može se odrediti kroz različite testove koje stručne osobe mogu načiniti sa zainteresovanim pojedincem ili na zahtjev poslodavaca.</w:t>
      </w:r>
    </w:p>
    <w:p>
      <w:pPr>
        <w:spacing w:after="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Neko u stresu sebe i odviše investira u ono čime se bavi, osjećanja su burna, prisutna je hiperaktivnost, nedostaje energija da se stigne sve što se započne, česta je anksioznost, tijelo pati i može da se razvije neka bolest čak i sa iznenednim smrtnim ishodom (npr. porast hormona </w:t>
      </w:r>
      <w:r>
        <w:fldChar w:fldCharType="begin"/>
      </w:r>
      <w:r>
        <w:instrText xml:space="preserve"> HYPERLINK "http://en.wikipedia.org/w/index.php?title=Stress_%28biology%29"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stresa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, problemi s cirkulacijom, koronarna </w:t>
      </w:r>
      <w:r>
        <w:fldChar w:fldCharType="begin"/>
      </w:r>
      <w:r>
        <w:instrText xml:space="preserve"> HYPERLINK "http://en.wikipedia.org/w/index.php?title=Heart_disease"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bolest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srca, moždani udar).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Osoba u „burnout-u“ nije više zainteresovana, otupljenih je osjećanja, bez motivacije, ideala i nade, doživljava se bespomoćnom, česti su povlačenje i depresivnost, emocionalno propadanje, a može se razviti i slijed u kojem osoba smatra da je život besmislen i nije vrijedan življenja pa razmišlja o, pokuša, ili počini samoubistvo.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>Uzroci izgaranja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Svako ko sebe doživljava prezaposlenim i podcijenjenim rizikuje izgaranje bilo da je pitanju prezaposleni radnik koji godinama nije imao godišnjeg odmora ili požrtvovana mama koja njeguje djecu, </w:t>
      </w:r>
      <w:r>
        <w:fldChar w:fldCharType="begin"/>
      </w:r>
      <w:r>
        <w:instrText xml:space="preserve"> HYPERLINK "https://translate.google.com/translate?hl=hr&amp;prev=_t&amp;sl=auto&amp;tl=hr&amp;u=https://www.helpguide.org/articles/stress/caregiver-stress-and-burnout.htm"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obavlja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> kućne poslove i pomaže ostarjelim roditeljima. Međutim, izgaranje nije uzrokovano samo stresom i pretjeranim preuzimanjem odgovornosti, nego tome takođe doprinose druge osobine ličnosti, životni stil i pogledi na svijet.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Uzroci koji su povezani s poslom su pomenuti doživljaj da osoba ima malo ili nimalo kontrole nad svojim poslom, nedostatak priznanja ili nagrade, nejasna ili prezahtjevna očekivanja na poslu i od posla, jednoličnost posla i rad pod pritiskom kao i slabo organizovano ili „haotično” okruženje.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Uzroci izgaranja povezani sa životnim stilom su manjak izdvojenog vremena za druženje ili opuštanje, nedovoljno spavanja, nedostatak bliskih i podržavajućih odnosa, preuzimanje previše odgovornosti  bez traženja ali i bez prihvatanja pomoći od drugih.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Dok u osobine ličnosti koje mogu doprinijeti izgaranju spadaju previsoka lična očekivanja, pesimističan pogled na sebe i svijet, perfekcionističke tendencije pri kojima „uvijek može bolje” te potreba za kontrolom i nesklonost delegiranju drugima</w:t>
      </w:r>
      <w:r>
        <w:rPr>
          <w:rStyle w:val="13"/>
        </w:rPr>
        <w:t>.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>Faze procesa izgaranja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Proces nastajanja burnouta može se podijeliti u 12 faza koje koje nisu nužno sve prisutne i ne slijede uvijek istim redoslijedom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Unutrašnja prisila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koja nastaje na temelju pretjerane želje da se osoba dokaže na radnom mjestu pri početku neke aktivnosti se pretvori u beskompromisnost i doživljaj moranja.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 xml:space="preserve">Naporan rad 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kako bi ispunila očekivanja i osoba se dokazala pred drugima i pokušala da se uklopi u organizaciju koja joj ne odgovara. Imajući  istovremeno visoka lična očekivanja, osoba prima sve više posla i opsjeda se idejom da radi sve sama i tako pokaže da je nezamjenjiva. 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Zanemarivanje potreba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zbog požrtvovanosti na poslu koja uzrokuje da se nema dovoljno vremena i volje za bilo što drugo. Prijatelji, porodica, hrana i spavanje postaju nevažni ili nepotrebni jer odvajaju osobu od posla a osoba ima smanjenje zadovoljstva ali istovremeno nema doživljaj postignuća.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 xml:space="preserve">Negiranje stvarnih uzroka poteškoća </w:t>
      </w:r>
      <w:r>
        <w:rPr>
          <w:rStyle w:val="23"/>
          <w:b w:val="0"/>
          <w:bCs w:val="0"/>
          <w:i w:val="0"/>
          <w:iCs w:val="0"/>
          <w:lang w:val="sr-Latn-BA"/>
        </w:rPr>
        <w:t>osoba započinje kad je djelimično svjesna da nešto nije u redu ali još ne vidi izvor problema. Počinje unutrašnja kriza i prijetnja po zdravlje, javljaju se prve tjelesne zdravstvene poteškoće: iscrpenost i umor u većini vremena, česte glavobolje ili bolovi u mišićima, sniženi imunitet, boležljivost, promjena apetita ili poteškoće spavanja za koje se medicinskim pregledima obično ne pronalazi jasan razlog.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Preoblikovanje ličnih vrijednosti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nastupa jer radom se sve više troši preostala energija, i ne ostaje skoro ništa za prijatelje i hobije. Novi sistem vrijednosti je njihov posao i osoba počinje biti emocionalno tupa. U ovoj fazi ljudi se sklanjaju od drugih, izbjegavaju sukobe  i polako padaju u stanje poricanja prema svojim osnovnim fizičkim potrebama a sebe uvjeravaju da je tako sada ispravno.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Poricanje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rastućeg problema je faza tokom koje osoba postaje netolerantna, izbjegava društvene kontakte a ako ih ima to je za nju nepodnošljivo. Drugi ljudi primijete sve više agresije i sarkazma. Nije neobično da oni za svoje sve veće probleme okrivljavaju rokove koji su pred njima i uopšteno posao koji moraju obaviti, umjesto načina na koji su se sami promijenili. 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Povlačenje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iz minimalnih društvenih kontakta se uskoro pretvara u izolaciju, doživljaj da su sami na svijetu i zid prema drugima. Alkohol ili droga se počinju koristiti za „rasterećenje” jer opsesivni rad po P.S.-u postaje pretežak. U ovoj fazi osobe često već vjeruju da su bez nade i smjera, bespomoćne, zarobljene i poražene.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Promjene u ponašanju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postaju očigledne pa saradnici, porodica, prijatelji i drugi ljudi iz neposrednog okruženja primjećuju da se nešto značajno događa. Osoba izbjegava posao ili kasno dolazi i rani odlazi, odgađa završetak obaveza koje je preuzela.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Depersonalizacija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(gubitak kontakta sa sobom) predstavlja gubitak sposobnosti da sebe a i druge vide kao vrijedne. Osoba potpuno gubi trag svojih ličnih potreba uz gubitak motivacije, rezignaciju i ciničnost prema sebi. Njihov pogled na život sužava se u automatizam u kojem ne prepoznaju svrhu i zadovoljstvo.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Unutrašnja praznina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postaje prevladavajući doživljaj a da bi to nadvladala, osoba možda potraži aktivnosti poput prejedanja, kompulsivnog seksa, ekstremnog sporta ili ranije pomenutih psihoaktivnih supstanci sa čijim korištenjem ponavljano pretjeruje.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Depresivnost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može biti faza „burnout” sindroma. Pojavljuju se simptomi tipični za depresiju, i u tom slučaju, osoba se zadržava u iscrpenosti, beznadnosti, ravnodušju i vjeruje da u budućnosti nema ništa, nema smisla živjeti. </w:t>
      </w:r>
    </w:p>
    <w:p>
      <w:pPr>
        <w:pStyle w:val="16"/>
        <w:numPr>
          <w:ilvl w:val="0"/>
          <w:numId w:val="1"/>
        </w:num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lang w:val="sr-Latn-BA"/>
        </w:rPr>
        <w:t>„Burnout sindrom”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u punom značenju je kada osoba ima doživljaj fizičkog i emotivnog urušavanja i potrebno je u takvoj situaciji odmah potražiti pomoć ljekara. U ekstremnim slučajevima mogu se intenzivirati suicidalne ideje, pri čemu se smrt smatra izlazom iz njihove situacije. Iako je obično ova krajnost prisutna samo kod onih koji su duboko depresivni, i vrlo malo osoba će zapravo počiniti samoubistvo, važno je imati na umu da je jedan od mogućih epiloga i taj.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Burnout nije odvojeno prepoznat kao poremećaj u </w:t>
      </w:r>
      <w:r>
        <w:rPr>
          <w:lang w:val="sr-Latn-BA"/>
        </w:rPr>
        <w:t xml:space="preserve">DSM (američka klasifikacija oboljenja) nego je svrstan u grupu sa ostalim poteškoćama koje su povezane sa stresom, ali 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jeste u </w:t>
      </w:r>
      <w:r>
        <w:rPr>
          <w:lang w:val="sr-Latn-BA"/>
        </w:rPr>
        <w:t>ICD (MKB - međunarodna klasifikacija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 bolesti) gdje je označen kao „stanje vitalne iscrpljenosti” (Z73.0) pod „Problemi vezani uz poteškoće u upravljanju životom” (Z73), ali se takodje ne imenuje jasno kao poremećaj.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bookmarkStart w:id="0" w:name="Phases"/>
      <w:bookmarkEnd w:id="0"/>
    </w:p>
    <w:p>
      <w:pPr>
        <w:spacing w:before="100" w:after="100" w:line="240" w:lineRule="auto"/>
        <w:jc w:val="both"/>
        <w:rPr>
          <w:rStyle w:val="23"/>
          <w:b w:val="0"/>
          <w:bCs w:val="0"/>
          <w:lang w:val="sr-Latn-BA"/>
        </w:rPr>
      </w:pPr>
      <w:bookmarkStart w:id="1" w:name="Prevention"/>
      <w:bookmarkEnd w:id="1"/>
      <w:r>
        <w:rPr>
          <w:rStyle w:val="23"/>
          <w:b w:val="0"/>
          <w:bCs w:val="0"/>
          <w:lang w:val="sr-Latn-BA"/>
        </w:rPr>
        <w:t>(</w:t>
      </w:r>
      <w:r>
        <w:rPr>
          <w:rStyle w:val="23"/>
          <w:lang w:val="sr-Latn-BA"/>
        </w:rPr>
        <w:t>ovaj dio teksta bih da ostane skriven i da se otvara na poseban klik kao tekst u tekstu)</w:t>
      </w: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>Sprečavanje burnouta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Suočavanje s izgaranjem zahtijeva pristup “3P (3R)” (Recognize, Reverse, Resilience)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Prepoznaj (eng. Recognize) upozoravajuće znakove izgaranja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Popravljaj (eng. Reverse) štetu traženjem podrške i upravljanjem stresom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Povećaj otpornost (eng. Resilience) na stres brinući se o svom fizičkom i emocionalnom zdravlju</w:t>
      </w: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 xml:space="preserve">Strategije organizacija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Iako se pojedinci mogu nositi sa simptomima burnouta, jedini način da se potpuno spriječi jest kombinacija organizacionih promjena i ličnog razvoja i obrazovanja pojedinca. Koristilo bi da se organizacije bave tim pitanjima kroz vlastiti razvoj upravljanja ili angažuju vanjske savjetnike kako bi im pomogli u uspostavljanju novih praksi koje podržavaju zdraviji radni vijek. Istraživači u ovom polju su zaključili da do izgaranja dolazi kada postoji raskorak između organizacije i pojedinca u nekom od područja bitnih tokom radnog vijeka: radno opterećenje, nivo kontrole, nagrađivanje, kvalitet zajednice te doživljaji pravednosti i vrijednosti.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Rješavanje neusklađenosti nužno uključuje integrisano djelovanje organizacije i pojedinca jer za bolji odgovor na radne zadatke podrazumijeva se da su osigurani adekvatni resursi za ispunjavanje zahtjeva, kao i ravnoteža između rada i života koja podstiče zaposlene da revitalizuju svoju energiju. Bolja povezanost s vrijednostima organizacije zaposlenima daje doživljaj pripadnosti, a bolja veza sa zajednicom znači podržavanje sistema upravljanja i odnosa s kolegama, a ne neslaganje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Bitan aspekt u rješavanju tih neusklađenosti usmjeren je posebno na područje pravednosti npr. ako bi se zaposleni mjesečno sastajali da bi raspravljali i pokušali riješiti uočene nejednakosti u svom poslu, tako bi se mogli umanjiti sukobi i svadljivost. Moguće je i privremeno ili stalno skraćenje radnog vremena (kojim bi se postepeno obnavljala sposobnost pojedinca</w:t>
      </w:r>
      <w:r>
        <w:rPr>
          <w:rStyle w:val="13"/>
        </w:rPr>
        <w:t xml:space="preserve">) </w:t>
      </w:r>
      <w:r>
        <w:rPr>
          <w:rStyle w:val="23"/>
          <w:b w:val="0"/>
          <w:bCs w:val="0"/>
          <w:i w:val="0"/>
          <w:iCs w:val="0"/>
          <w:lang w:val="sr-Latn-BA"/>
        </w:rPr>
        <w:t xml:space="preserve">ali i niz drugih načina na koje pojedinci i organizacije mogu biti prevenirajuć ili umanjiti postojeći „burnout“.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Ukoliko organizacija usvoji stav da mjere za umanjenje pojave izgaranja nisu korisne samo iz perspektive zaposlenika, već i iz perspektive organizacije svakako bi se ovim aspektima poslovnog upravljanja moglo značajno više baviti i/ili potražiti neki od specijalizovanih programa ili profesionalaca na tom području.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 xml:space="preserve">Koraci koje osoba može poduzeti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Prijateljski razgovor licem u lice jedan je od najbržih načina za smirivanje nervnog sistema i ublažavanje stresa. Kontakt s pažljivim slušaocem koji ne iznosi olako procjene je prirodni protivotrov za stres. Vrijedi pokušati obratiti se najbližima a većini prijatelja i voljenih će prijati što im osoba vjeruje dovoljno da bi sa njima podijelila tegobu. Dobro je razgovarati i šire provodeći ugodno vrijeme s bliskim ljudima. Ponekad je korisno potražiti i nove prijatelje, nikad nije kasno za širenje socijalne mreže. Ako nekog poslovnog kolegu pojedinac smatra „negativnom“ ili mrzovoljnom osobom, može biti od koristi da pokuša ograničiti količinu zajedničkog vremena 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Povezivanje s grupom ili ciljevima unutar zajednice, pridruživanje psihoterapijskoj, socijalnoj  ili grupi za podršku može pružiti mjesto za razgovor. Ako djelatnost ima profesionalno udruženje, moguće je da postoje sastanci s drugima koji se nose s sličnim zahtjevima i poteškoćama. Dopuštanje sebi da se uspostavi odnos uživo s ljudima koji rade u istom preduzeću, zajednički odlazak na društveni događaj nakon posla umjesto gledanja u „pametni” telefon, mogu pomoći u prevenciji burnouta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Korisno je prisjetiti se vrijednosti koje su povezane sa radom. Promjena stava prema poslu može pomoći da se vrati osjećaj svrhe i kontrole. Postavljanje granica, bez samoforsiranja, unaprijed određena dnevna pauza od ekrana (</w:t>
      </w:r>
      <w:r>
        <w:fldChar w:fldCharType="begin"/>
      </w:r>
      <w:r>
        <w:instrText xml:space="preserve"> HYPERLINK "https://translate.google.com/translate?hl=hr&amp;prev=_t&amp;sl=auto&amp;tl=hr&amp;u=https://www.helpguide.org/articles/addictions/smartphone-addiction.htm"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isključen telefon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>, ugašen računar, „smartvoč” skinut sa ruke, provjera e-pošta ostavljena za kasnije) je bitan korak takođe. Znati na vrijeme reći „ne” na zahtjeve koji Vam se ne dopadaju omogućiće da kažete „da” na obaveze koje želite preuzeti. 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Ako je „burnout” izvjestan, dobar izbor je odlazak na godišnji odmor, bolovanje, privremeno odsustvo ili bilo šta drugo da biste se uklonili iz situacije. Uvijek je dobrodošlo odvajanje vremena za </w:t>
      </w:r>
      <w:r>
        <w:fldChar w:fldCharType="begin"/>
      </w:r>
      <w:r>
        <w:instrText xml:space="preserve"> HYPERLINK "https://translate.google.com/translate?hl=hr&amp;prev=_t&amp;sl=auto&amp;tl=hr&amp;u=https://www.helpguide.org/articles/stress/relaxation-techniques-for-stress-relief.htm"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tehnike 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> poput joge, meditacije ili dubokog disanja, kao i masažu, kojima se aktivira reakcija opuštanja tijela, pune se baterije i organizam se oporavlja.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Njegovanje kreativne strane ličnosti je bitan preventivni korak. Isprobati nešto novo, započeti zabavan projekt, nastaviti s nekad omiljenim hobijem poput </w:t>
      </w:r>
      <w:r>
        <w:fldChar w:fldCharType="begin"/>
      </w:r>
      <w:r>
        <w:instrText xml:space="preserve"> HYPERLINK "http://en.wikipedia.org/w/index.php?title=Narrative"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kreativnog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 xml:space="preserve"> pisanja, slikanja ili obučiti se za pojedine vještine koje nisu povezane sa poslom može redukovati fiziološki i psihološki stres.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Bez obzira na to da li je posao prezahtjevan ili monoton i neispunjen, najefikasniji način borbe protiv „burnout-a” je napustiti ga i umjesto toga pronaći dopadljiviji posao. Naravno, za mnoge je </w:t>
      </w:r>
      <w:r>
        <w:fldChar w:fldCharType="begin"/>
      </w:r>
      <w:r>
        <w:instrText xml:space="preserve"> HYPERLINK "https://translate.google.com/translate?hl=hr&amp;prev=_t&amp;sl=auto&amp;tl=hr&amp;u=https://www.helpguide.org/articles/healthy-living/finding-the-right-career.htm" </w:instrText>
      </w:r>
      <w:r>
        <w:fldChar w:fldCharType="separate"/>
      </w:r>
      <w:r>
        <w:rPr>
          <w:rStyle w:val="23"/>
          <w:b w:val="0"/>
          <w:bCs w:val="0"/>
          <w:i w:val="0"/>
          <w:iCs w:val="0"/>
          <w:lang w:val="sr-Latn-BA"/>
        </w:rPr>
        <w:t>promjena karijere</w:t>
      </w:r>
      <w:r>
        <w:rPr>
          <w:rStyle w:val="23"/>
          <w:b w:val="0"/>
          <w:bCs w:val="0"/>
          <w:i w:val="0"/>
          <w:iCs w:val="0"/>
          <w:lang w:val="sr-Latn-BA"/>
        </w:rPr>
        <w:fldChar w:fldCharType="end"/>
      </w:r>
      <w:r>
        <w:rPr>
          <w:rStyle w:val="23"/>
          <w:b w:val="0"/>
          <w:bCs w:val="0"/>
          <w:i w:val="0"/>
          <w:iCs w:val="0"/>
          <w:lang w:val="sr-Latn-BA"/>
        </w:rPr>
        <w:t> daleko od praktičnog rješenja, jer su zahvalni što imaju posao koji plaća račune, ali bez obzira na situaciju, moguće je ostati otvoren za druge mogućnosti.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Moguće je i važno preispitati prioritete i potražiti ravnotežu u životu usmjeravanjem i na one dijelove života koji donose radost ili odvajanjem vremena za razmišljanje o nadama, ciljevima i snovima. Zapitati se da li je zanemareno nešto što je zaista važno? Ovo može biti prilika prisjetiti se čemu se osoba raduje i dopuštanje samoj sebi vrijeme za odmor i ozdravljenje</w:t>
      </w:r>
      <w:bookmarkStart w:id="2" w:name="Stress_interventions"/>
      <w:bookmarkEnd w:id="2"/>
      <w:r>
        <w:rPr>
          <w:rStyle w:val="23"/>
          <w:b w:val="0"/>
          <w:bCs w:val="0"/>
          <w:i w:val="0"/>
          <w:iCs w:val="0"/>
          <w:lang w:val="sr-Latn-BA"/>
        </w:rPr>
        <w:t>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i w:val="0"/>
          <w:iCs w:val="0"/>
          <w:lang w:val="sr-Latn-BA"/>
        </w:rPr>
      </w:pPr>
      <w:r>
        <w:rPr>
          <w:rStyle w:val="23"/>
          <w:i w:val="0"/>
          <w:iCs w:val="0"/>
          <w:lang w:val="sr-Latn-BA"/>
        </w:rPr>
        <w:t xml:space="preserve">Savjetodavne i terapijske mogućnosti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Bez obzira da li je „burnout” nastupio ili se javljaju znakovi upozorenja na predstojeće izgaranje ključno je potražiti pomoć, jer pokušaji ignorisanja iscrpenosti i ponašanje kao da se ništa ne dešava samo će doprinijeti daljoj emocionalnoj i fizičkoj šteti.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>Ukoliko je organizacija zainteresovana, kako je ranije pomenuto, sigurno je moguće potražiti osobe ili ustanove koje se bave poteškoćama u funkcionisanju pojedinaca ili organizacije na različitim nivoima sara</w:t>
      </w:r>
      <w:bookmarkStart w:id="5" w:name="_GoBack"/>
      <w:bookmarkEnd w:id="5"/>
      <w:r>
        <w:rPr>
          <w:rStyle w:val="23"/>
          <w:b w:val="0"/>
          <w:bCs w:val="0"/>
          <w:i w:val="0"/>
          <w:iCs w:val="0"/>
          <w:lang w:val="sr-Latn-BA"/>
        </w:rPr>
        <w:t xml:space="preserve">dnje sa  psiholozima/terapeutim specijalizovanim za organizaciono savjetovanje.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Pojedinac koji to želi može se sresti sa psihoterapeutom, psihologom, specijalizovanim savjetnikom ili psihijatrom. Izbor </w:t>
      </w:r>
      <w:bookmarkStart w:id="3" w:name="_Hlk82702221"/>
      <w:r>
        <w:rPr>
          <w:rStyle w:val="23"/>
          <w:b w:val="0"/>
          <w:bCs w:val="0"/>
          <w:i w:val="0"/>
          <w:iCs w:val="0"/>
          <w:lang w:val="sr-Latn-BA"/>
        </w:rPr>
        <w:t xml:space="preserve">terapeuta </w:t>
      </w:r>
      <w:bookmarkEnd w:id="3"/>
      <w:r>
        <w:rPr>
          <w:rStyle w:val="23"/>
          <w:b w:val="0"/>
          <w:bCs w:val="0"/>
          <w:i w:val="0"/>
          <w:iCs w:val="0"/>
          <w:lang w:val="sr-Latn-BA"/>
        </w:rPr>
        <w:t>nije posebno povezan sa metodom koju primjenjuje nego sa doživljajem prisutnosti i povezanosti koji je ključan u terapijskom odnosu. Odvajanje vremena za pronalazak takvog terapeuta kasnije se vraća kroz efikasno uspostavljanje unutrašnjeg mira koji je zagubljen tokom nastupanja „burnouta“.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r>
        <w:rPr>
          <w:rStyle w:val="23"/>
          <w:b w:val="0"/>
          <w:bCs w:val="0"/>
          <w:i w:val="0"/>
          <w:iCs w:val="0"/>
          <w:lang w:val="sr-Latn-BA"/>
        </w:rPr>
        <w:t xml:space="preserve">Ljekari drugih usmjerenja (specijalista porodične medicine, internista, neurolog, fizijatar) takođe mogu biti korisni za koordinaciju liječenja ili isključivanje pratećih tjelesnih oboljenja.  </w:t>
      </w: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  <w:bookmarkStart w:id="4" w:name="References"/>
      <w:bookmarkEnd w:id="4"/>
    </w:p>
    <w:p>
      <w:pPr>
        <w:spacing w:before="100" w:after="100" w:line="240" w:lineRule="auto"/>
        <w:jc w:val="both"/>
        <w:rPr>
          <w:rStyle w:val="23"/>
          <w:b w:val="0"/>
          <w:bCs w:val="0"/>
          <w:i w:val="0"/>
          <w:iCs w:val="0"/>
          <w:lang w:val="sr-Latn-BA"/>
        </w:rPr>
      </w:pPr>
    </w:p>
    <w:sectPr>
      <w:headerReference r:id="rId3" w:type="default"/>
      <w:footerReference r:id="rId4" w:type="default"/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insoku w:val="0"/>
      <w:overflowPunct w:val="0"/>
      <w:spacing w:before="0" w:line="14" w:lineRule="auto"/>
      <w:ind w:left="0"/>
    </w:pPr>
    <w:r>
      <mc:AlternateContent>
        <mc:Choice Requires="wps">
          <w:drawing>
            <wp:anchor distT="0" distB="0" distL="114300" distR="114300" simplePos="0" relativeHeight="251703296" behindDoc="1" locked="0" layoutInCell="0" allowOverlap="1">
              <wp:simplePos x="0" y="0"/>
              <wp:positionH relativeFrom="page">
                <wp:posOffset>539750</wp:posOffset>
              </wp:positionH>
              <wp:positionV relativeFrom="page">
                <wp:posOffset>10151745</wp:posOffset>
              </wp:positionV>
              <wp:extent cx="6480175" cy="635"/>
              <wp:effectExtent l="0" t="0" r="0" b="0"/>
              <wp:wrapNone/>
              <wp:docPr id="5" name="Prostoručni oblik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175" cy="635"/>
                      </a:xfrm>
                      <a:custGeom>
                        <a:avLst/>
                        <a:gdLst>
                          <a:gd name="T0" fmla="*/ 0 w 10205"/>
                          <a:gd name="T1" fmla="*/ 0 h 1"/>
                          <a:gd name="T2" fmla="*/ 10204 w 10205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205" h="1">
                            <a:moveTo>
                              <a:pt x="0" y="0"/>
                            </a:moveTo>
                            <a:lnTo>
                              <a:pt x="10204" y="0"/>
                            </a:lnTo>
                          </a:path>
                        </a:pathLst>
                      </a:custGeom>
                      <a:noFill/>
                      <a:ln w="0">
                        <a:solidFill>
                          <a:srgbClr val="000000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Prostoručni oblik 8" o:spid="_x0000_s1026" o:spt="100" style="position:absolute;left:0pt;margin-left:42.5pt;margin-top:799.35pt;height:0.05pt;width:510.25pt;mso-position-horizontal-relative:page;mso-position-vertical-relative:page;z-index:-251613184;mso-width-relative:page;mso-height-relative:page;" filled="f" stroked="t" coordsize="10205,1" o:allowincell="f" o:gfxdata="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3ZW19wA&#10;AAANAQAADwAAAAAAAAABACAAAAAiAAAAZHJzL2Rvd25yZXYueG1sUEsBAhQAFAAAAAgAh07iQOCw&#10;2EuNAgAAegUAAA4AAAAAAAAAAQAgAAAAKwEAAGRycy9lMm9Eb2MueG1sUEsFBgAAAAAGAAYAWQEA&#10;ACoGAAAAAA==&#10;" path="m0,0l10204,0e">
              <v:path o:connectlocs="0,0;6479540,0" o:connectangles="0,0"/>
              <v:fill on="f" focussize="0,0"/>
              <v:stroke weight="0pt" color="#000000" joinstyle="round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insoku w:val="0"/>
      <w:overflowPunct w:val="0"/>
      <w:spacing w:before="0" w:line="14" w:lineRule="auto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B4134"/>
    <w:multiLevelType w:val="multilevel"/>
    <w:tmpl w:val="21BB41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105"/>
    <w:rsid w:val="000108F6"/>
    <w:rsid w:val="00023D4F"/>
    <w:rsid w:val="00024D8B"/>
    <w:rsid w:val="00067079"/>
    <w:rsid w:val="00072218"/>
    <w:rsid w:val="00086D67"/>
    <w:rsid w:val="000930D9"/>
    <w:rsid w:val="00094D12"/>
    <w:rsid w:val="000A51ED"/>
    <w:rsid w:val="000E769A"/>
    <w:rsid w:val="000F216D"/>
    <w:rsid w:val="000F2F46"/>
    <w:rsid w:val="00105D8A"/>
    <w:rsid w:val="0013622C"/>
    <w:rsid w:val="00136A1D"/>
    <w:rsid w:val="00154E2E"/>
    <w:rsid w:val="0017153A"/>
    <w:rsid w:val="00176288"/>
    <w:rsid w:val="00190416"/>
    <w:rsid w:val="001A3B0A"/>
    <w:rsid w:val="001B38EF"/>
    <w:rsid w:val="001C01EC"/>
    <w:rsid w:val="001D70BD"/>
    <w:rsid w:val="001F45FB"/>
    <w:rsid w:val="002018E5"/>
    <w:rsid w:val="00211F29"/>
    <w:rsid w:val="00226711"/>
    <w:rsid w:val="00250E53"/>
    <w:rsid w:val="0029157B"/>
    <w:rsid w:val="002A3D69"/>
    <w:rsid w:val="002A7E81"/>
    <w:rsid w:val="002C15E8"/>
    <w:rsid w:val="002D2B92"/>
    <w:rsid w:val="002E553D"/>
    <w:rsid w:val="00323FFC"/>
    <w:rsid w:val="003256E3"/>
    <w:rsid w:val="00326D7B"/>
    <w:rsid w:val="00335D6C"/>
    <w:rsid w:val="0035040A"/>
    <w:rsid w:val="00391D4F"/>
    <w:rsid w:val="003D2D40"/>
    <w:rsid w:val="004018A3"/>
    <w:rsid w:val="004170F2"/>
    <w:rsid w:val="004523B5"/>
    <w:rsid w:val="004528FA"/>
    <w:rsid w:val="00457371"/>
    <w:rsid w:val="00465A0E"/>
    <w:rsid w:val="00466906"/>
    <w:rsid w:val="00466CDA"/>
    <w:rsid w:val="00485B00"/>
    <w:rsid w:val="004A5EF1"/>
    <w:rsid w:val="004D4593"/>
    <w:rsid w:val="004E5DF8"/>
    <w:rsid w:val="004F2A56"/>
    <w:rsid w:val="0050752F"/>
    <w:rsid w:val="00507F0D"/>
    <w:rsid w:val="00521C5B"/>
    <w:rsid w:val="00522AFE"/>
    <w:rsid w:val="005343B3"/>
    <w:rsid w:val="0054189A"/>
    <w:rsid w:val="00546705"/>
    <w:rsid w:val="00552FFB"/>
    <w:rsid w:val="00571E51"/>
    <w:rsid w:val="00582325"/>
    <w:rsid w:val="005923A7"/>
    <w:rsid w:val="005A2B82"/>
    <w:rsid w:val="005B0084"/>
    <w:rsid w:val="005E14E5"/>
    <w:rsid w:val="005E5D4D"/>
    <w:rsid w:val="00616F33"/>
    <w:rsid w:val="0062632C"/>
    <w:rsid w:val="00650762"/>
    <w:rsid w:val="00690C91"/>
    <w:rsid w:val="006B5280"/>
    <w:rsid w:val="006B79FE"/>
    <w:rsid w:val="006C580B"/>
    <w:rsid w:val="006D45F6"/>
    <w:rsid w:val="006D6F88"/>
    <w:rsid w:val="006E0048"/>
    <w:rsid w:val="006E72F3"/>
    <w:rsid w:val="006F6BD5"/>
    <w:rsid w:val="00702125"/>
    <w:rsid w:val="00723628"/>
    <w:rsid w:val="00740519"/>
    <w:rsid w:val="00742B0D"/>
    <w:rsid w:val="00794537"/>
    <w:rsid w:val="007B5531"/>
    <w:rsid w:val="007E2C4E"/>
    <w:rsid w:val="00813A5E"/>
    <w:rsid w:val="0082576B"/>
    <w:rsid w:val="008350F3"/>
    <w:rsid w:val="008436AC"/>
    <w:rsid w:val="00844E7A"/>
    <w:rsid w:val="00860A5A"/>
    <w:rsid w:val="008660D0"/>
    <w:rsid w:val="00883686"/>
    <w:rsid w:val="008A5A21"/>
    <w:rsid w:val="008B206B"/>
    <w:rsid w:val="008B3DDB"/>
    <w:rsid w:val="009338C6"/>
    <w:rsid w:val="00943FDF"/>
    <w:rsid w:val="00950BE3"/>
    <w:rsid w:val="00952D36"/>
    <w:rsid w:val="00966F7C"/>
    <w:rsid w:val="0097191E"/>
    <w:rsid w:val="009736B8"/>
    <w:rsid w:val="009821DE"/>
    <w:rsid w:val="009A79F5"/>
    <w:rsid w:val="009C516C"/>
    <w:rsid w:val="009D4ECC"/>
    <w:rsid w:val="00A01EE2"/>
    <w:rsid w:val="00A331D2"/>
    <w:rsid w:val="00A33214"/>
    <w:rsid w:val="00A617B3"/>
    <w:rsid w:val="00A73B50"/>
    <w:rsid w:val="00A931C3"/>
    <w:rsid w:val="00A93804"/>
    <w:rsid w:val="00AC1B46"/>
    <w:rsid w:val="00AD5D54"/>
    <w:rsid w:val="00B01C6B"/>
    <w:rsid w:val="00B03D7A"/>
    <w:rsid w:val="00B22FEA"/>
    <w:rsid w:val="00B32CC7"/>
    <w:rsid w:val="00B360BB"/>
    <w:rsid w:val="00B36FAE"/>
    <w:rsid w:val="00B40342"/>
    <w:rsid w:val="00B54FBF"/>
    <w:rsid w:val="00B64C6E"/>
    <w:rsid w:val="00B96474"/>
    <w:rsid w:val="00BB1F16"/>
    <w:rsid w:val="00BC5215"/>
    <w:rsid w:val="00BC7610"/>
    <w:rsid w:val="00BD2918"/>
    <w:rsid w:val="00BF340C"/>
    <w:rsid w:val="00C070DE"/>
    <w:rsid w:val="00C35416"/>
    <w:rsid w:val="00C37A61"/>
    <w:rsid w:val="00C402D8"/>
    <w:rsid w:val="00C43783"/>
    <w:rsid w:val="00C66E2F"/>
    <w:rsid w:val="00C75636"/>
    <w:rsid w:val="00C76878"/>
    <w:rsid w:val="00CA5AB7"/>
    <w:rsid w:val="00CE2CBF"/>
    <w:rsid w:val="00CE35FE"/>
    <w:rsid w:val="00CF6719"/>
    <w:rsid w:val="00CF7BC3"/>
    <w:rsid w:val="00D06693"/>
    <w:rsid w:val="00D06CC4"/>
    <w:rsid w:val="00D13A43"/>
    <w:rsid w:val="00D67AA5"/>
    <w:rsid w:val="00D75441"/>
    <w:rsid w:val="00D93105"/>
    <w:rsid w:val="00DB083B"/>
    <w:rsid w:val="00DC3DAC"/>
    <w:rsid w:val="00DD7BF7"/>
    <w:rsid w:val="00DE1BDB"/>
    <w:rsid w:val="00DE6C98"/>
    <w:rsid w:val="00DE70A2"/>
    <w:rsid w:val="00DF0613"/>
    <w:rsid w:val="00DF7054"/>
    <w:rsid w:val="00E0048D"/>
    <w:rsid w:val="00E20F3B"/>
    <w:rsid w:val="00E30F16"/>
    <w:rsid w:val="00E43A8C"/>
    <w:rsid w:val="00E7399B"/>
    <w:rsid w:val="00EE1354"/>
    <w:rsid w:val="00EE38CD"/>
    <w:rsid w:val="00F079A7"/>
    <w:rsid w:val="00F553D5"/>
    <w:rsid w:val="00F8171A"/>
    <w:rsid w:val="00FD610B"/>
    <w:rsid w:val="1381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1"/>
    <w:pPr>
      <w:widowControl w:val="0"/>
      <w:autoSpaceDE w:val="0"/>
      <w:autoSpaceDN w:val="0"/>
      <w:adjustRightInd w:val="0"/>
      <w:spacing w:before="75" w:after="0" w:line="240" w:lineRule="auto"/>
      <w:ind w:left="113"/>
      <w:outlineLvl w:val="0"/>
    </w:pPr>
    <w:rPr>
      <w:rFonts w:ascii="Times New Roman" w:hAnsi="Times New Roman" w:cs="Times New Roman" w:eastAsiaTheme="minorEastAsia"/>
      <w:b/>
      <w:bCs/>
      <w:sz w:val="44"/>
      <w:szCs w:val="44"/>
      <w:lang w:val="hr"/>
    </w:rPr>
  </w:style>
  <w:style w:type="paragraph" w:styleId="3">
    <w:name w:val="heading 2"/>
    <w:basedOn w:val="1"/>
    <w:next w:val="1"/>
    <w:link w:val="18"/>
    <w:qFormat/>
    <w:uiPriority w:val="1"/>
    <w:pPr>
      <w:widowControl w:val="0"/>
      <w:autoSpaceDE w:val="0"/>
      <w:autoSpaceDN w:val="0"/>
      <w:adjustRightInd w:val="0"/>
      <w:spacing w:after="0" w:line="240" w:lineRule="auto"/>
      <w:ind w:left="113"/>
      <w:outlineLvl w:val="1"/>
    </w:pPr>
    <w:rPr>
      <w:rFonts w:ascii="Times New Roman" w:hAnsi="Times New Roman" w:cs="Times New Roman" w:eastAsiaTheme="minorEastAsia"/>
      <w:b/>
      <w:bCs/>
      <w:sz w:val="28"/>
      <w:szCs w:val="28"/>
      <w:lang w:val="hr"/>
    </w:rPr>
  </w:style>
  <w:style w:type="paragraph" w:styleId="4">
    <w:name w:val="heading 3"/>
    <w:basedOn w:val="1"/>
    <w:next w:val="1"/>
    <w:link w:val="19"/>
    <w:qFormat/>
    <w:uiPriority w:val="1"/>
    <w:pPr>
      <w:widowControl w:val="0"/>
      <w:autoSpaceDE w:val="0"/>
      <w:autoSpaceDN w:val="0"/>
      <w:adjustRightInd w:val="0"/>
      <w:spacing w:after="0" w:line="240" w:lineRule="auto"/>
      <w:ind w:left="113"/>
      <w:jc w:val="both"/>
      <w:outlineLvl w:val="2"/>
    </w:pPr>
    <w:rPr>
      <w:rFonts w:ascii="Times New Roman" w:hAnsi="Times New Roman" w:cs="Times New Roman" w:eastAsiaTheme="minorEastAsia"/>
      <w:b/>
      <w:bCs/>
      <w:sz w:val="24"/>
      <w:szCs w:val="24"/>
      <w:lang w:val="hr"/>
    </w:rPr>
  </w:style>
  <w:style w:type="paragraph" w:styleId="5">
    <w:name w:val="heading 4"/>
    <w:basedOn w:val="1"/>
    <w:next w:val="1"/>
    <w:link w:val="20"/>
    <w:qFormat/>
    <w:uiPriority w:val="1"/>
    <w:pPr>
      <w:widowControl w:val="0"/>
      <w:autoSpaceDE w:val="0"/>
      <w:autoSpaceDN w:val="0"/>
      <w:adjustRightInd w:val="0"/>
      <w:spacing w:before="3" w:after="0" w:line="240" w:lineRule="auto"/>
      <w:ind w:left="383" w:hanging="271"/>
      <w:jc w:val="both"/>
      <w:outlineLvl w:val="3"/>
    </w:pPr>
    <w:rPr>
      <w:rFonts w:ascii="Times New Roman" w:hAnsi="Times New Roman" w:cs="Times New Roman" w:eastAsiaTheme="minorEastAsia"/>
      <w:b/>
      <w:bCs/>
      <w:sz w:val="20"/>
      <w:szCs w:val="20"/>
      <w:lang w:val="hr"/>
    </w:rPr>
  </w:style>
  <w:style w:type="character" w:default="1" w:styleId="12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1"/>
    <w:qFormat/>
    <w:uiPriority w:val="1"/>
    <w:pPr>
      <w:widowControl w:val="0"/>
      <w:autoSpaceDE w:val="0"/>
      <w:autoSpaceDN w:val="0"/>
      <w:adjustRightInd w:val="0"/>
      <w:spacing w:before="70" w:after="0" w:line="240" w:lineRule="auto"/>
      <w:ind w:left="353"/>
    </w:pPr>
    <w:rPr>
      <w:rFonts w:ascii="Times New Roman" w:hAnsi="Times New Roman" w:cs="Times New Roman" w:eastAsiaTheme="minorEastAsia"/>
      <w:sz w:val="20"/>
      <w:szCs w:val="20"/>
      <w:lang w:val="hr"/>
    </w:rPr>
  </w:style>
  <w:style w:type="paragraph" w:styleId="8">
    <w:name w:val="annotation text"/>
    <w:basedOn w:val="1"/>
    <w:link w:val="2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annotation reference"/>
    <w:basedOn w:val="12"/>
    <w:semiHidden/>
    <w:unhideWhenUsed/>
    <w:uiPriority w:val="99"/>
    <w:rPr>
      <w:sz w:val="16"/>
      <w:szCs w:val="16"/>
    </w:rPr>
  </w:style>
  <w:style w:type="character" w:customStyle="1" w:styleId="15">
    <w:name w:val="Balloon Text Char"/>
    <w:basedOn w:val="12"/>
    <w:link w:val="6"/>
    <w:semiHidden/>
    <w:uiPriority w:val="99"/>
    <w:rPr>
      <w:rFonts w:ascii="Tahoma" w:hAnsi="Tahoma" w:cs="Tahoma"/>
      <w:sz w:val="16"/>
      <w:szCs w:val="16"/>
    </w:rPr>
  </w:style>
  <w:style w:type="paragraph" w:styleId="16">
    <w:name w:val="List Paragraph"/>
    <w:basedOn w:val="1"/>
    <w:qFormat/>
    <w:uiPriority w:val="1"/>
    <w:pPr>
      <w:ind w:left="720"/>
      <w:contextualSpacing/>
    </w:pPr>
  </w:style>
  <w:style w:type="character" w:customStyle="1" w:styleId="17">
    <w:name w:val="Heading 1 Char"/>
    <w:basedOn w:val="12"/>
    <w:link w:val="2"/>
    <w:uiPriority w:val="1"/>
    <w:rPr>
      <w:rFonts w:ascii="Times New Roman" w:hAnsi="Times New Roman" w:cs="Times New Roman" w:eastAsiaTheme="minorEastAsia"/>
      <w:b/>
      <w:bCs/>
      <w:sz w:val="44"/>
      <w:szCs w:val="44"/>
      <w:lang w:val="hr"/>
    </w:rPr>
  </w:style>
  <w:style w:type="character" w:customStyle="1" w:styleId="18">
    <w:name w:val="Heading 2 Char"/>
    <w:basedOn w:val="12"/>
    <w:link w:val="3"/>
    <w:uiPriority w:val="1"/>
    <w:rPr>
      <w:rFonts w:ascii="Times New Roman" w:hAnsi="Times New Roman" w:cs="Times New Roman" w:eastAsiaTheme="minorEastAsia"/>
      <w:b/>
      <w:bCs/>
      <w:sz w:val="28"/>
      <w:szCs w:val="28"/>
      <w:lang w:val="hr"/>
    </w:rPr>
  </w:style>
  <w:style w:type="character" w:customStyle="1" w:styleId="19">
    <w:name w:val="Heading 3 Char"/>
    <w:basedOn w:val="12"/>
    <w:link w:val="4"/>
    <w:uiPriority w:val="1"/>
    <w:rPr>
      <w:rFonts w:ascii="Times New Roman" w:hAnsi="Times New Roman" w:cs="Times New Roman" w:eastAsiaTheme="minorEastAsia"/>
      <w:b/>
      <w:bCs/>
      <w:sz w:val="24"/>
      <w:szCs w:val="24"/>
      <w:lang w:val="hr"/>
    </w:rPr>
  </w:style>
  <w:style w:type="character" w:customStyle="1" w:styleId="20">
    <w:name w:val="Heading 4 Char"/>
    <w:basedOn w:val="12"/>
    <w:link w:val="5"/>
    <w:uiPriority w:val="1"/>
    <w:rPr>
      <w:rFonts w:ascii="Times New Roman" w:hAnsi="Times New Roman" w:cs="Times New Roman" w:eastAsiaTheme="minorEastAsia"/>
      <w:b/>
      <w:bCs/>
      <w:sz w:val="20"/>
      <w:szCs w:val="20"/>
      <w:lang w:val="hr"/>
    </w:rPr>
  </w:style>
  <w:style w:type="character" w:customStyle="1" w:styleId="21">
    <w:name w:val="Body Text Char"/>
    <w:basedOn w:val="12"/>
    <w:link w:val="7"/>
    <w:uiPriority w:val="1"/>
    <w:rPr>
      <w:rFonts w:ascii="Times New Roman" w:hAnsi="Times New Roman" w:cs="Times New Roman" w:eastAsiaTheme="minorEastAsia"/>
      <w:sz w:val="20"/>
      <w:szCs w:val="20"/>
      <w:lang w:val="hr"/>
    </w:rPr>
  </w:style>
  <w:style w:type="paragraph" w:customStyle="1" w:styleId="22">
    <w:name w:val="Table Paragraph"/>
    <w:basedOn w:val="1"/>
    <w:qFormat/>
    <w:uiPriority w:val="1"/>
    <w:pPr>
      <w:widowControl w:val="0"/>
      <w:autoSpaceDE w:val="0"/>
      <w:autoSpaceDN w:val="0"/>
      <w:adjustRightInd w:val="0"/>
      <w:spacing w:before="36" w:after="0" w:line="240" w:lineRule="auto"/>
      <w:ind w:left="60"/>
    </w:pPr>
    <w:rPr>
      <w:rFonts w:ascii="Times New Roman" w:hAnsi="Times New Roman" w:cs="Times New Roman" w:eastAsiaTheme="minorEastAsia"/>
      <w:sz w:val="24"/>
      <w:szCs w:val="24"/>
      <w:lang w:val="hr"/>
    </w:rPr>
  </w:style>
  <w:style w:type="character" w:customStyle="1" w:styleId="23">
    <w:name w:val="Book Title"/>
    <w:basedOn w:val="12"/>
    <w:qFormat/>
    <w:uiPriority w:val="33"/>
    <w:rPr>
      <w:b/>
      <w:bCs/>
      <w:i/>
      <w:iCs/>
      <w:spacing w:val="5"/>
    </w:rPr>
  </w:style>
  <w:style w:type="character" w:customStyle="1" w:styleId="24">
    <w:name w:val="Header Char"/>
    <w:basedOn w:val="12"/>
    <w:link w:val="11"/>
    <w:qFormat/>
    <w:uiPriority w:val="99"/>
  </w:style>
  <w:style w:type="character" w:customStyle="1" w:styleId="25">
    <w:name w:val="Footer Char"/>
    <w:basedOn w:val="12"/>
    <w:link w:val="10"/>
    <w:uiPriority w:val="99"/>
  </w:style>
  <w:style w:type="character" w:customStyle="1" w:styleId="26">
    <w:name w:val="Comment Text Char"/>
    <w:basedOn w:val="12"/>
    <w:link w:val="8"/>
    <w:semiHidden/>
    <w:qFormat/>
    <w:uiPriority w:val="99"/>
    <w:rPr>
      <w:sz w:val="20"/>
      <w:szCs w:val="20"/>
    </w:rPr>
  </w:style>
  <w:style w:type="character" w:customStyle="1" w:styleId="27">
    <w:name w:val="Comment Subject Char"/>
    <w:basedOn w:val="26"/>
    <w:link w:val="9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7C248A-7427-4972-A0D2-26AD3B44DE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2538</Words>
  <Characters>14468</Characters>
  <Lines>120</Lines>
  <Paragraphs>33</Paragraphs>
  <TotalTime>46</TotalTime>
  <ScaleCrop>false</ScaleCrop>
  <LinksUpToDate>false</LinksUpToDate>
  <CharactersWithSpaces>16973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2021-09-16T15:08:00Z</dcterms:created>
  <dc:creator>TOSHIBA</dc:creator>
  <cp:lastModifiedBy>milosh</cp:lastModifiedBy>
  <dcterms:modified xsi:type="dcterms:W3CDTF">2021-09-17T07:40:17Z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2057-11.2.0.8942</vt:lpwstr>
  </property>
</Properties>
</file>