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Apex API Integration Scoping Overview</w:t>
      </w:r>
    </w:p>
    <w:p>
      <w:pPr>
        <w:jc w:val="center"/>
      </w:pPr>
      <w:r>
        <w:t>Customer-owned Apex inventory, behavior map, and integration touchpoint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Document generated</w:t>
            </w:r>
          </w:p>
        </w:tc>
        <w:tc>
          <w:tcPr>
            <w:tcW w:type="dxa" w:w="4680"/>
          </w:tcPr>
          <w:p>
            <w:r>
              <w:t>2026-03-02 14:28:20 UTC</w:t>
            </w:r>
          </w:p>
        </w:tc>
      </w:tr>
      <w:tr>
        <w:tc>
          <w:tcPr>
            <w:tcW w:type="dxa" w:w="4680"/>
          </w:tcPr>
          <w:p>
            <w:r>
              <w:t>Analysis snapshot</w:t>
            </w:r>
          </w:p>
        </w:tc>
        <w:tc>
          <w:tcPr>
            <w:tcW w:type="dxa" w:w="4680"/>
          </w:tcPr>
          <w:p>
            <w:r>
              <w:t>2026-03-02 14:27:22 UTC</w:t>
            </w:r>
          </w:p>
        </w:tc>
      </w:tr>
      <w:tr>
        <w:tc>
          <w:tcPr>
            <w:tcW w:type="dxa" w:w="4680"/>
          </w:tcPr>
          <w:p>
            <w:r>
              <w:t>Custom classes analyzed</w:t>
            </w:r>
          </w:p>
        </w:tc>
        <w:tc>
          <w:tcPr>
            <w:tcW w:type="dxa" w:w="4680"/>
          </w:tcPr>
          <w:p>
            <w:r>
              <w:t>62</w:t>
            </w:r>
          </w:p>
        </w:tc>
      </w:tr>
      <w:tr>
        <w:tc>
          <w:tcPr>
            <w:tcW w:type="dxa" w:w="4680"/>
          </w:tcPr>
          <w:p>
            <w:r>
              <w:t>Custom triggers analyzed</w:t>
            </w:r>
          </w:p>
        </w:tc>
        <w:tc>
          <w:tcPr>
            <w:tcW w:type="dxa" w:w="4680"/>
          </w:tcPr>
          <w:p>
            <w:r>
              <w:t>11</w:t>
            </w:r>
          </w:p>
        </w:tc>
      </w:tr>
      <w:tr>
        <w:tc>
          <w:tcPr>
            <w:tcW w:type="dxa" w:w="4680"/>
          </w:tcPr>
          <w:p>
            <w:r>
              <w:t>Artifacts with callout indicators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  <w:tr>
        <w:tc>
          <w:tcPr>
            <w:tcW w:type="dxa" w:w="4680"/>
          </w:tcPr>
          <w:p>
            <w:r>
              <w:t>REST classes (@RestResource)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Flow-invocable classes</w:t>
            </w:r>
          </w:p>
        </w:tc>
        <w:tc>
          <w:tcPr>
            <w:tcW w:type="dxa" w:w="4680"/>
          </w:tcPr>
          <w:p>
            <w:r>
              <w:t>9</w:t>
            </w:r>
          </w:p>
        </w:tc>
      </w:tr>
      <w:tr>
        <w:tc>
          <w:tcPr>
            <w:tcW w:type="dxa" w:w="4680"/>
          </w:tcPr>
          <w:p>
            <w:r>
              <w:t>External-candidate touchpoints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</w:tbl>
    <w:p>
      <w:r>
        <w:t>Scope note: this document focuses on `NamespacePrefix = null` Apex (customer-owned code). The org also contains extensive managed-package Apex that should be reviewed separately if needed.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The custom Apex layer includes both synchronous trigger-driven logic and invocable/callout utility classes.</w:t>
      </w:r>
    </w:p>
    <w:p>
      <w:pPr>
        <w:pStyle w:val="ListBullet"/>
      </w:pPr>
      <w:r>
        <w:t>Highest-impact components center on Opportunity/OpportunityLineItem synchronization and API callout helpers.</w:t>
      </w:r>
    </w:p>
    <w:p>
      <w:pPr>
        <w:pStyle w:val="ListBullet"/>
      </w:pPr>
      <w:r>
        <w:t>A small number of classes appear to implement direct external integration entry points and outbound calls.</w:t>
      </w:r>
    </w:p>
    <w:p>
      <w:pPr>
        <w:pStyle w:val="ListBullet"/>
      </w:pPr>
      <w:r>
        <w:t>Trigger footprint is concentrated on Opportunity, OpportunityLineItem, Quote, and Account object families.</w:t>
      </w:r>
    </w:p>
    <w:p>
      <w:pPr>
        <w:pStyle w:val="Heading1"/>
      </w:pPr>
      <w:r>
        <w:t>2. Top Ranked Apex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Rank</w:t>
            </w:r>
          </w:p>
        </w:tc>
        <w:tc>
          <w:tcPr>
            <w:tcW w:type="dxa" w:w="1337"/>
          </w:tcPr>
          <w:p>
            <w:r>
              <w:t>Type</w:t>
            </w:r>
          </w:p>
        </w:tc>
        <w:tc>
          <w:tcPr>
            <w:tcW w:type="dxa" w:w="1337"/>
          </w:tcPr>
          <w:p>
            <w:r>
              <w:t>Name</w:t>
            </w:r>
          </w:p>
        </w:tc>
        <w:tc>
          <w:tcPr>
            <w:tcW w:type="dxa" w:w="1337"/>
          </w:tcPr>
          <w:p>
            <w:r>
              <w:t>Score</w:t>
            </w:r>
          </w:p>
        </w:tc>
        <w:tc>
          <w:tcPr>
            <w:tcW w:type="dxa" w:w="1337"/>
          </w:tcPr>
          <w:p>
            <w:r>
              <w:t>Primary Object</w:t>
            </w:r>
          </w:p>
        </w:tc>
        <w:tc>
          <w:tcPr>
            <w:tcW w:type="dxa" w:w="1337"/>
          </w:tcPr>
          <w:p>
            <w:r>
              <w:t>Flags</w:t>
            </w:r>
          </w:p>
        </w:tc>
        <w:tc>
          <w:tcPr>
            <w:tcW w:type="dxa" w:w="1337"/>
          </w:tcPr>
          <w:p>
            <w:r>
              <w:t>Summary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CalloutHelper</w:t>
            </w:r>
          </w:p>
        </w:tc>
        <w:tc>
          <w:tcPr>
            <w:tcW w:type="dxa" w:w="1337"/>
          </w:tcPr>
          <w:p>
            <w:r>
              <w:t>151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callout=Y, rest=N, invocable=Y</w:t>
            </w:r>
          </w:p>
        </w:tc>
        <w:tc>
          <w:tcPr>
            <w:tcW w:type="dxa" w:w="1337"/>
          </w:tcPr>
          <w:p>
            <w:r>
              <w:t>CalloutHelper: Flow invocable, HTTP/callout logic</w:t>
            </w:r>
          </w:p>
        </w:tc>
      </w:tr>
      <w:tr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VantageApiInvoiceQuery</w:t>
            </w:r>
          </w:p>
        </w:tc>
        <w:tc>
          <w:tcPr>
            <w:tcW w:type="dxa" w:w="1337"/>
          </w:tcPr>
          <w:p>
            <w:r>
              <w:t>121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callout=Y, rest=N, invocable=Y</w:t>
            </w:r>
          </w:p>
        </w:tc>
        <w:tc>
          <w:tcPr>
            <w:tcW w:type="dxa" w:w="1337"/>
          </w:tcPr>
          <w:p>
            <w:r>
              <w:t>VantageApiInvoiceQuery: Flow invocable, HTTP/callout logic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VantageApiInvoiceLinesQuery</w:t>
            </w:r>
          </w:p>
        </w:tc>
        <w:tc>
          <w:tcPr>
            <w:tcW w:type="dxa" w:w="1337"/>
          </w:tcPr>
          <w:p>
            <w:r>
              <w:t>121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callout=Y, rest=N, invocable=Y</w:t>
            </w:r>
          </w:p>
        </w:tc>
        <w:tc>
          <w:tcPr>
            <w:tcW w:type="dxa" w:w="1337"/>
          </w:tcPr>
          <w:p>
            <w:r>
              <w:t>VantageApiInvoiceLinesQuery: Flow invocable, HTTP/callout logic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OppSyncTrigger</w:t>
            </w:r>
          </w:p>
        </w:tc>
        <w:tc>
          <w:tcPr>
            <w:tcW w:type="dxa" w:w="1337"/>
          </w:tcPr>
          <w:p>
            <w:r>
              <w:t>111</w:t>
            </w:r>
          </w:p>
        </w:tc>
        <w:tc>
          <w:tcPr>
            <w:tcW w:type="dxa" w:w="1337"/>
          </w:tcPr>
          <w:p>
            <w:r>
              <w:t>Opportunity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Opportunity (after update)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OppLineSyncTrigger</w:t>
            </w:r>
          </w:p>
        </w:tc>
        <w:tc>
          <w:tcPr>
            <w:tcW w:type="dxa" w:w="1337"/>
          </w:tcPr>
          <w:p>
            <w:r>
              <w:t>107</w:t>
            </w:r>
          </w:p>
        </w:tc>
        <w:tc>
          <w:tcPr>
            <w:tcW w:type="dxa" w:w="1337"/>
          </w:tcPr>
          <w:p>
            <w:r>
              <w:t>OpportunityLineItem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OpportunityLineItem (before insert,after insert,after update)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TPSChecker</w:t>
            </w:r>
          </w:p>
        </w:tc>
        <w:tc>
          <w:tcPr>
            <w:tcW w:type="dxa" w:w="1337"/>
          </w:tcPr>
          <w:p>
            <w:r>
              <w:t>100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callout=Y, rest=N, invocable=N</w:t>
            </w:r>
          </w:p>
        </w:tc>
        <w:tc>
          <w:tcPr>
            <w:tcW w:type="dxa" w:w="1337"/>
          </w:tcPr>
          <w:p>
            <w:r>
              <w:t>TPSChecker: HTTP/callout logic, async=Database.Batchable</w:t>
            </w:r>
          </w:p>
        </w:tc>
      </w:tr>
      <w:tr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TPSCallout</w:t>
            </w:r>
          </w:p>
        </w:tc>
        <w:tc>
          <w:tcPr>
            <w:tcW w:type="dxa" w:w="1337"/>
          </w:tcPr>
          <w:p>
            <w:r>
              <w:t>100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callout=Y, rest=N, invocable=N</w:t>
            </w:r>
          </w:p>
        </w:tc>
        <w:tc>
          <w:tcPr>
            <w:tcW w:type="dxa" w:w="1337"/>
          </w:tcPr>
          <w:p>
            <w:r>
              <w:t>TPSCallout: HTTP/callout logic, async=Database.Batchable</w:t>
            </w:r>
          </w:p>
        </w:tc>
      </w:tr>
      <w:tr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dlrs_OpportunityTrigger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Opportunity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Opportunity (before delete,before insert,before update,after delete,after insert,after undelete,after update)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PortalCertiniaReceiptApi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callout=N, rest=Y, invocable=N</w:t>
            </w:r>
          </w:p>
        </w:tc>
        <w:tc>
          <w:tcPr>
            <w:tcW w:type="dxa" w:w="1337"/>
          </w:tcPr>
          <w:p>
            <w:r>
              <w:t>PortalCertiniaReceiptApi: REST endpoint</w:t>
            </w:r>
          </w:p>
        </w:tc>
      </w:tr>
      <w:tr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HP_API_AccountService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callout=Y, rest=N, invocable=N</w:t>
            </w:r>
          </w:p>
        </w:tc>
        <w:tc>
          <w:tcPr>
            <w:tcW w:type="dxa" w:w="1337"/>
          </w:tcPr>
          <w:p>
            <w:r>
              <w:t>HP_API_AccountService: HTTP/callout logic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HPAuthService</w:t>
            </w:r>
          </w:p>
        </w:tc>
        <w:tc>
          <w:tcPr>
            <w:tcW w:type="dxa" w:w="1337"/>
          </w:tcPr>
          <w:p>
            <w:r>
              <w:t>92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callout=Y, rest=N, invocable=N</w:t>
            </w:r>
          </w:p>
        </w:tc>
        <w:tc>
          <w:tcPr>
            <w:tcW w:type="dxa" w:w="1337"/>
          </w:tcPr>
          <w:p>
            <w:r>
              <w:t>HPAuthService: HTTP/callout logic</w:t>
            </w:r>
          </w:p>
        </w:tc>
      </w:tr>
      <w:tr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dlrs_OpportunityLineItemTrigger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OpportunityLineItem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OpportunityLineItem (before delete,before insert,before update,after delete,after insert,after undelete,af...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dlrs_AccountTrigger</w:t>
            </w:r>
          </w:p>
        </w:tc>
        <w:tc>
          <w:tcPr>
            <w:tcW w:type="dxa" w:w="1337"/>
          </w:tcPr>
          <w:p>
            <w:r>
              <w:t>84</w:t>
            </w:r>
          </w:p>
        </w:tc>
        <w:tc>
          <w:tcPr>
            <w:tcW w:type="dxa" w:w="1337"/>
          </w:tcPr>
          <w:p>
            <w:r>
              <w:t>Account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Account (before delete,before insert,before update,after delete,after insert,after undelete,after update)</w:t>
            </w:r>
          </w:p>
        </w:tc>
      </w:tr>
      <w:tr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QuoteLineSyncTrigger</w:t>
            </w:r>
          </w:p>
        </w:tc>
        <w:tc>
          <w:tcPr>
            <w:tcW w:type="dxa" w:w="1337"/>
          </w:tcPr>
          <w:p>
            <w:r>
              <w:t>84</w:t>
            </w:r>
          </w:p>
        </w:tc>
        <w:tc>
          <w:tcPr>
            <w:tcW w:type="dxa" w:w="1337"/>
          </w:tcPr>
          <w:p>
            <w:r>
              <w:t>QuoteLineItem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QuoteLineItem (before insert,after insert,after update)</w:t>
            </w:r>
          </w:p>
        </w:tc>
      </w:tr>
      <w:tr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QuoteSyncTrigger</w:t>
            </w:r>
          </w:p>
        </w:tc>
        <w:tc>
          <w:tcPr>
            <w:tcW w:type="dxa" w:w="1337"/>
          </w:tcPr>
          <w:p>
            <w:r>
              <w:t>74</w:t>
            </w:r>
          </w:p>
        </w:tc>
        <w:tc>
          <w:tcPr>
            <w:tcW w:type="dxa" w:w="1337"/>
          </w:tcPr>
          <w:p>
            <w:r>
              <w:t>Quote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Quote (after insert,after update)</w:t>
            </w:r>
          </w:p>
        </w:tc>
      </w:tr>
      <w:tr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dlrs_c2godaInvoiceTrigger</w:t>
            </w:r>
          </w:p>
        </w:tc>
        <w:tc>
          <w:tcPr>
            <w:tcW w:type="dxa" w:w="1337"/>
          </w:tcPr>
          <w:p>
            <w:r>
              <w:t>64</w:t>
            </w:r>
          </w:p>
        </w:tc>
        <w:tc>
          <w:tcPr>
            <w:tcW w:type="dxa" w:w="1337"/>
          </w:tcPr>
          <w:p>
            <w:r>
              <w:t>c2g__codaInvoice__c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c2g__codaInvoice__c (before delete,before insert,before update,after delete,after insert,after undelete,af...</w:t>
            </w:r>
          </w:p>
        </w:tc>
      </w:tr>
      <w:tr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dlrs_AssetTrigger</w:t>
            </w:r>
          </w:p>
        </w:tc>
        <w:tc>
          <w:tcPr>
            <w:tcW w:type="dxa" w:w="1337"/>
          </w:tcPr>
          <w:p>
            <w:r>
              <w:t>64</w:t>
            </w:r>
          </w:p>
        </w:tc>
        <w:tc>
          <w:tcPr>
            <w:tcW w:type="dxa" w:w="1337"/>
          </w:tcPr>
          <w:p>
            <w:r>
              <w:t>Asset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Asset (before delete,before insert,before update,after delete,after insert,after undelete,after update)</w:t>
            </w:r>
          </w:p>
        </w:tc>
      </w:tr>
      <w:tr>
        <w:tc>
          <w:tcPr>
            <w:tcW w:type="dxa" w:w="1337"/>
          </w:tcPr>
          <w:p>
            <w:r>
              <w:t>18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GenericObjectOperationBatchLauncher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callout=N, rest=N, invocable=Y</w:t>
            </w:r>
          </w:p>
        </w:tc>
        <w:tc>
          <w:tcPr>
            <w:tcW w:type="dxa" w:w="1337"/>
          </w:tcPr>
          <w:p>
            <w:r>
              <w:t>GenericObjectOperationBatchLauncher: Flow invocable, async=Database.executeBatch</w:t>
            </w:r>
          </w:p>
        </w:tc>
      </w:tr>
      <w:tr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ProductMergeService</w:t>
            </w:r>
          </w:p>
        </w:tc>
        <w:tc>
          <w:tcPr>
            <w:tcW w:type="dxa" w:w="1337"/>
          </w:tcPr>
          <w:p>
            <w:r>
              <w:t>46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ProductMergeService: utility/business logic class</w:t>
            </w:r>
          </w:p>
        </w:tc>
      </w:tr>
      <w:tr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DisableFeedPostDeletes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FeedItem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FeedItem (before delete)</w:t>
            </w:r>
          </w:p>
        </w:tc>
      </w:tr>
      <w:tr>
        <w:tc>
          <w:tcPr>
            <w:tcW w:type="dxa" w:w="1337"/>
          </w:tcPr>
          <w:p>
            <w:r>
              <w:t>21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DisableFeedCommentDeletes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FeedComment</w:t>
            </w:r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Trigger on FeedComment (before delete)</w:t>
            </w:r>
          </w:p>
        </w:tc>
      </w:tr>
      <w:tr>
        <w:tc>
          <w:tcPr>
            <w:tcW w:type="dxa" w:w="1337"/>
          </w:tcPr>
          <w:p>
            <w:r>
              <w:t>22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ResolveApprovalRequest</w:t>
            </w:r>
          </w:p>
        </w:tc>
        <w:tc>
          <w:tcPr>
            <w:tcW w:type="dxa" w:w="1337"/>
          </w:tcPr>
          <w:p>
            <w:r>
              <w:t>35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callout=N, rest=N, invocable=Y</w:t>
            </w:r>
          </w:p>
        </w:tc>
        <w:tc>
          <w:tcPr>
            <w:tcW w:type="dxa" w:w="1337"/>
          </w:tcPr>
          <w:p>
            <w:r>
              <w:t>ResolveApprovalRequest: Flow invocable</w:t>
            </w:r>
          </w:p>
        </w:tc>
      </w:tr>
      <w:tr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AgxPayableInvoiceRelease</w:t>
            </w:r>
          </w:p>
        </w:tc>
        <w:tc>
          <w:tcPr>
            <w:tcW w:type="dxa" w:w="1337"/>
          </w:tcPr>
          <w:p>
            <w:r>
              <w:t>35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callout=N, rest=N, invocable=Y</w:t>
            </w:r>
          </w:p>
        </w:tc>
        <w:tc>
          <w:tcPr>
            <w:tcW w:type="dxa" w:w="1337"/>
          </w:tcPr>
          <w:p>
            <w:r>
              <w:t>AgxPayableInvoiceRelease: Flow invocable</w:t>
            </w:r>
          </w:p>
        </w:tc>
      </w:tr>
      <w:tr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AgxPayableInvoiceHold</w:t>
            </w:r>
          </w:p>
        </w:tc>
        <w:tc>
          <w:tcPr>
            <w:tcW w:type="dxa" w:w="1337"/>
          </w:tcPr>
          <w:p>
            <w:r>
              <w:t>35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callout=N, rest=N, invocable=Y</w:t>
            </w:r>
          </w:p>
        </w:tc>
        <w:tc>
          <w:tcPr>
            <w:tcW w:type="dxa" w:w="1337"/>
          </w:tcPr>
          <w:p>
            <w:r>
              <w:t>AgxPayableInvoiceHold: Flow invocable</w:t>
            </w:r>
          </w:p>
        </w:tc>
      </w:tr>
      <w:tr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Class</w:t>
            </w:r>
          </w:p>
        </w:tc>
        <w:tc>
          <w:tcPr>
            <w:tcW w:type="dxa" w:w="1337"/>
          </w:tcPr>
          <w:p>
            <w:r>
              <w:t>GenericObjectOperationBatch</w:t>
            </w:r>
          </w:p>
        </w:tc>
        <w:tc>
          <w:tcPr>
            <w:tcW w:type="dxa" w:w="1337"/>
          </w:tcPr>
          <w:p>
            <w:r>
              <w:t>34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callout=N, rest=N, invocable=N</w:t>
            </w:r>
          </w:p>
        </w:tc>
        <w:tc>
          <w:tcPr>
            <w:tcW w:type="dxa" w:w="1337"/>
          </w:tcPr>
          <w:p>
            <w:r>
              <w:t>GenericObjectOperationBatch: async=Database.Batchable</w:t>
            </w:r>
          </w:p>
        </w:tc>
      </w:tr>
    </w:tbl>
    <w:p>
      <w:pPr>
        <w:pStyle w:val="Heading1"/>
      </w:pPr>
      <w:r>
        <w:t>3. External/API Touchpoint 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Type</w:t>
            </w:r>
          </w:p>
        </w:tc>
        <w:tc>
          <w:tcPr>
            <w:tcW w:type="dxa" w:w="2340"/>
          </w:tcPr>
          <w:p>
            <w:r>
              <w:t>Artifact</w:t>
            </w:r>
          </w:p>
        </w:tc>
        <w:tc>
          <w:tcPr>
            <w:tcW w:type="dxa" w:w="2340"/>
          </w:tcPr>
          <w:p>
            <w:r>
              <w:t>Touchpoint Type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CalloutHelper</w:t>
            </w:r>
          </w:p>
        </w:tc>
        <w:tc>
          <w:tcPr>
            <w:tcW w:type="dxa" w:w="2340"/>
          </w:tcPr>
          <w:p>
            <w:r>
              <w:t>HttpCalloutLogic</w:t>
            </w:r>
          </w:p>
        </w:tc>
        <w:tc>
          <w:tcPr>
            <w:tcW w:type="dxa" w:w="2340"/>
          </w:tcPr>
          <w:p>
            <w:r>
              <w:t>HTTP/callout-related code detected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HP_API_AccountService</w:t>
            </w:r>
          </w:p>
        </w:tc>
        <w:tc>
          <w:tcPr>
            <w:tcW w:type="dxa" w:w="2340"/>
          </w:tcPr>
          <w:p>
            <w:r>
              <w:t>HttpCalloutLogic</w:t>
            </w:r>
          </w:p>
        </w:tc>
        <w:tc>
          <w:tcPr>
            <w:tcW w:type="dxa" w:w="2340"/>
          </w:tcPr>
          <w:p>
            <w:r>
              <w:t>HTTP/callout-related code detected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HP_API_AccountService</w:t>
            </w:r>
          </w:p>
        </w:tc>
        <w:tc>
          <w:tcPr>
            <w:tcW w:type="dxa" w:w="2340"/>
          </w:tcPr>
          <w:p>
            <w:r>
              <w:t>HttpCalloutEndpoint</w:t>
            </w:r>
          </w:p>
        </w:tc>
        <w:tc>
          <w:tcPr>
            <w:tcW w:type="dxa" w:w="2340"/>
          </w:tcPr>
          <w:p>
            <w:r>
              <w:t>https://hp-bss.eu.interworks.cloud/api/accounts?pageIndex=1&amp;pageSize=500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HPAuthService</w:t>
            </w:r>
          </w:p>
        </w:tc>
        <w:tc>
          <w:tcPr>
            <w:tcW w:type="dxa" w:w="2340"/>
          </w:tcPr>
          <w:p>
            <w:r>
              <w:t>HttpCalloutLogic</w:t>
            </w:r>
          </w:p>
        </w:tc>
        <w:tc>
          <w:tcPr>
            <w:tcW w:type="dxa" w:w="2340"/>
          </w:tcPr>
          <w:p>
            <w:r>
              <w:t>HTTP/callout-related code detected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PortalCertiniaReceiptApi</w:t>
            </w:r>
          </w:p>
        </w:tc>
        <w:tc>
          <w:tcPr>
            <w:tcW w:type="dxa" w:w="2340"/>
          </w:tcPr>
          <w:p>
            <w:r>
              <w:t>InboundREST</w:t>
            </w:r>
          </w:p>
        </w:tc>
        <w:tc>
          <w:tcPr>
            <w:tcW w:type="dxa" w:w="2340"/>
          </w:tcPr>
          <w:p>
            <w:r>
              <w:t>/portal/certinia/receipt-po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TPSCallout</w:t>
            </w:r>
          </w:p>
        </w:tc>
        <w:tc>
          <w:tcPr>
            <w:tcW w:type="dxa" w:w="2340"/>
          </w:tcPr>
          <w:p>
            <w:r>
              <w:t>HttpCalloutLogic</w:t>
            </w:r>
          </w:p>
        </w:tc>
        <w:tc>
          <w:tcPr>
            <w:tcW w:type="dxa" w:w="2340"/>
          </w:tcPr>
          <w:p>
            <w:r>
              <w:t>HTTP/callout-related code detected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TPSCalloutTest</w:t>
            </w:r>
          </w:p>
        </w:tc>
        <w:tc>
          <w:tcPr>
            <w:tcW w:type="dxa" w:w="2340"/>
          </w:tcPr>
          <w:p>
            <w:r>
              <w:t>HttpCalloutLogic</w:t>
            </w:r>
          </w:p>
        </w:tc>
        <w:tc>
          <w:tcPr>
            <w:tcW w:type="dxa" w:w="2340"/>
          </w:tcPr>
          <w:p>
            <w:r>
              <w:t>HTTP/callout-related code detected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TPSChecker</w:t>
            </w:r>
          </w:p>
        </w:tc>
        <w:tc>
          <w:tcPr>
            <w:tcW w:type="dxa" w:w="2340"/>
          </w:tcPr>
          <w:p>
            <w:r>
              <w:t>HttpCalloutLogic</w:t>
            </w:r>
          </w:p>
        </w:tc>
        <w:tc>
          <w:tcPr>
            <w:tcW w:type="dxa" w:w="2340"/>
          </w:tcPr>
          <w:p>
            <w:r>
              <w:t>HTTP/callout-related code detected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VantageApiInvoiceLinesQuery</w:t>
            </w:r>
          </w:p>
        </w:tc>
        <w:tc>
          <w:tcPr>
            <w:tcW w:type="dxa" w:w="2340"/>
          </w:tcPr>
          <w:p>
            <w:r>
              <w:t>HttpCalloutLogic</w:t>
            </w:r>
          </w:p>
        </w:tc>
        <w:tc>
          <w:tcPr>
            <w:tcW w:type="dxa" w:w="2340"/>
          </w:tcPr>
          <w:p>
            <w:r>
              <w:t>HTTP/callout-related code detected</w:t>
            </w:r>
          </w:p>
        </w:tc>
      </w:tr>
      <w:tr>
        <w:tc>
          <w:tcPr>
            <w:tcW w:type="dxa" w:w="2340"/>
          </w:tcPr>
          <w:p>
            <w:r>
              <w:t>Class</w:t>
            </w:r>
          </w:p>
        </w:tc>
        <w:tc>
          <w:tcPr>
            <w:tcW w:type="dxa" w:w="2340"/>
          </w:tcPr>
          <w:p>
            <w:r>
              <w:t>VantageApiInvoiceQuery</w:t>
            </w:r>
          </w:p>
        </w:tc>
        <w:tc>
          <w:tcPr>
            <w:tcW w:type="dxa" w:w="2340"/>
          </w:tcPr>
          <w:p>
            <w:r>
              <w:t>HttpCalloutLogic</w:t>
            </w:r>
          </w:p>
        </w:tc>
        <w:tc>
          <w:tcPr>
            <w:tcW w:type="dxa" w:w="2340"/>
          </w:tcPr>
          <w:p>
            <w:r>
              <w:t>HTTP/callout-related code detected</w:t>
            </w:r>
          </w:p>
        </w:tc>
      </w:tr>
    </w:tbl>
    <w:p>
      <w:pPr>
        <w:pStyle w:val="Heading1"/>
      </w:pPr>
      <w:r>
        <w:t>4. Trigger Coverage</w:t>
      </w:r>
    </w:p>
    <w:p>
      <w:r>
        <w:t>Top trigger objects by number of custom triggers:</w:t>
      </w:r>
    </w:p>
    <w:p>
      <w:pPr>
        <w:pStyle w:val="ListBullet"/>
      </w:pPr>
      <w:r>
        <w:t>Opportunity: 2</w:t>
      </w:r>
    </w:p>
    <w:p>
      <w:pPr>
        <w:pStyle w:val="ListBullet"/>
      </w:pPr>
      <w:r>
        <w:t>OpportunityLineItem: 2</w:t>
      </w:r>
    </w:p>
    <w:p>
      <w:pPr>
        <w:pStyle w:val="ListBullet"/>
      </w:pPr>
      <w:r>
        <w:t>Account: 1</w:t>
      </w:r>
    </w:p>
    <w:p>
      <w:pPr>
        <w:pStyle w:val="ListBullet"/>
      </w:pPr>
      <w:r>
        <w:t>QuoteLineItem: 1</w:t>
      </w:r>
    </w:p>
    <w:p>
      <w:pPr>
        <w:pStyle w:val="ListBullet"/>
      </w:pPr>
      <w:r>
        <w:t>Quote: 1</w:t>
      </w:r>
    </w:p>
    <w:p>
      <w:pPr>
        <w:pStyle w:val="ListBullet"/>
      </w:pPr>
      <w:r>
        <w:t>c2g__codaInvoice__c: 1</w:t>
      </w:r>
    </w:p>
    <w:p>
      <w:pPr>
        <w:pStyle w:val="ListBullet"/>
      </w:pPr>
      <w:r>
        <w:t>Asset: 1</w:t>
      </w:r>
    </w:p>
    <w:p>
      <w:pPr>
        <w:pStyle w:val="ListBullet"/>
      </w:pPr>
      <w:r>
        <w:t>FeedItem: 1</w:t>
      </w:r>
    </w:p>
    <w:p>
      <w:pPr>
        <w:pStyle w:val="ListBullet"/>
      </w:pPr>
      <w:r>
        <w:t>FeedComment: 1</w:t>
      </w:r>
    </w:p>
    <w:p>
      <w:pPr>
        <w:pStyle w:val="Heading1"/>
      </w:pPr>
      <w:r>
        <w:t>5. Suggested Next Analysis Steps</w:t>
      </w:r>
    </w:p>
    <w:p>
      <w:pPr>
        <w:pStyle w:val="ListNumber"/>
      </w:pPr>
      <w:r>
        <w:t>Trace top-ranked callout classes to Named Credentials, External Credentials, and endpoint governance.</w:t>
      </w:r>
    </w:p>
    <w:p>
      <w:pPr>
        <w:pStyle w:val="ListNumber"/>
      </w:pPr>
      <w:r>
        <w:t>Map top triggers to downstream DML side effects and recursion controls in related handlers.</w:t>
      </w:r>
    </w:p>
    <w:p>
      <w:pPr>
        <w:pStyle w:val="ListNumber"/>
      </w:pPr>
      <w:r>
        <w:t>Correlate invocable Apex classes with active Flow definitions to finalize integration sequence diagrams.</w:t>
      </w:r>
    </w:p>
    <w:p>
      <w:pPr>
        <w:pStyle w:val="ListNumber"/>
      </w:pPr>
      <w:r>
        <w:t>Run targeted code review on non-test classes with high score and high DML/SOQL indicators.</w:t>
      </w:r>
    </w:p>
    <w:p>
      <w:pPr>
        <w:pStyle w:val="ListNumber"/>
      </w:pPr>
      <w:r>
        <w:t>Add test coverage and failure-handling verification for API-touchpoint classes before production integration changes.</w:t>
      </w:r>
    </w:p>
    <w:p>
      <w:pPr>
        <w:pStyle w:val="Heading1"/>
      </w:pPr>
      <w:r>
        <w:t>6. Supporting Artifacts</w:t>
      </w:r>
    </w:p>
    <w:p>
      <w:pPr>
        <w:pStyle w:val="ListBullet"/>
      </w:pPr>
      <w:r>
        <w:t>apex-classes-custom.csv</w:t>
      </w:r>
    </w:p>
    <w:p>
      <w:pPr>
        <w:pStyle w:val="ListBullet"/>
      </w:pPr>
      <w:r>
        <w:t>apex-triggers-custom.csv</w:t>
      </w:r>
    </w:p>
    <w:p>
      <w:pPr>
        <w:pStyle w:val="ListBullet"/>
      </w:pPr>
      <w:r>
        <w:t>apex-custom-code-map.csv</w:t>
      </w:r>
    </w:p>
    <w:p>
      <w:pPr>
        <w:pStyle w:val="ListBullet"/>
      </w:pPr>
      <w:r>
        <w:t>apex-custom-touchpoints.csv</w:t>
      </w:r>
    </w:p>
    <w:p>
      <w:pPr>
        <w:pStyle w:val="ListBullet"/>
      </w:pPr>
      <w:r>
        <w:t>apex-custom-runbook-all.csv</w:t>
      </w:r>
    </w:p>
    <w:p>
      <w:pPr>
        <w:pStyle w:val="ListBullet"/>
      </w:pPr>
      <w:r>
        <w:t>apex-custom-runbook-all.md</w:t>
      </w:r>
    </w:p>
    <w:p>
      <w:pPr>
        <w:pStyle w:val="ListBullet"/>
      </w:pPr>
      <w:r>
        <w:t>apex-custom-api-touchpoint-overview.md</w:t>
      </w:r>
    </w:p>
    <w:p>
      <w:pPr>
        <w:pStyle w:val="ListBullet"/>
      </w:pPr>
      <w:r>
        <w:t>apex-custom-analysis-stats.json</w:t>
      </w:r>
    </w:p>
    <w:p>
      <w:pPr>
        <w:pStyle w:val="ListBullet"/>
      </w:pPr>
      <w:r>
        <w:t>apex-metadata-custom/classes/*.cls</w:t>
      </w:r>
    </w:p>
    <w:p>
      <w:pPr>
        <w:pStyle w:val="ListBullet"/>
      </w:pPr>
      <w:r>
        <w:t>apex-metadata-custom/triggers/*.trigger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