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C9A84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rHeight w:val="900" w:hRule="exact"/>
        </w:trP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CERNICE ROBINSON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84C"/>
                <w:sz w:val="17"/>
                <w:szCs w:val="17"/>
              </w:rPr>
              <w:t xml:space="preserve">Director of Customer Success  ·  CS Program Architecture  ·  Enterprise Retention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D8A" w:val="clear"/>
            <w:tcMar>
              <w:top w:type="dxa" w:w="240"/>
              <w:left w:type="dxa" w:w="200"/>
              <w:bottom w:type="dxa" w:w="240"/>
              <w:right w:type="dxa" w:w="3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CS LEADERSHIP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BRIEF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Q1 2025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C9A84C" w:sz="6"/>
          <w:left w:val="single" w:color="1F3864" w:sz="4"/>
          <w:bottom w:val="single" w:color="C9A84C" w:sz="6"/>
          <w:right w:val="single" w:color="1F3864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rHeight w:val="900" w:hRule="exact"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D9D9D9" w:sz="1"/>
            </w:tcBorders>
            <w:shd w:fill="FAFB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48"/>
                <w:szCs w:val="48"/>
              </w:rPr>
              <w:t xml:space="preserve">18%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CHURN REDUCED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Dual-lane health scoring model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D9D9D9" w:sz="1"/>
            </w:tcBorders>
            <w:shd w:fill="FAFB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48"/>
                <w:szCs w:val="48"/>
              </w:rPr>
              <w:t xml:space="preserve">$4.2M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ARR PROTECTED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At-risk ARR recovered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D9D9D9" w:sz="1"/>
            </w:tcBorders>
            <w:shd w:fill="FAFB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48"/>
                <w:szCs w:val="48"/>
              </w:rPr>
              <w:t xml:space="preserve">32pt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NPS LIFTED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Structured QBR + exec alignment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48"/>
                <w:szCs w:val="48"/>
              </w:rPr>
              <w:t xml:space="preserve">96%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SLA COMPLIANCE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Up from 74% — team of 20</w:t>
            </w:r>
          </w:p>
        </w:tc>
      </w:tr>
    </w:tbl>
    <w:p>
      <w:pPr>
        <w:spacing w:before="0" w:after="160"/>
      </w:pPr>
    </w:p>
    <w:tbl>
      <w:tblPr>
        <w:tblW w:type="dxa" w:w="88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CS PHILOSOPHY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Two risk profiles. One system.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Customer risk is not monolithic. Vocal dissatisfaction — NPS detractors, escalations, support spikes — demands a 24–48 hour rapid response motion. Silent disengagement — usage decline, reduced touchpoints, slower response cadence — requires behavioral composite detection at 60+ days in advance.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 build dual-lane health scoring systems that address both, simultaneously, with distinct playbooks for each. That is what makes the invisible visible before churn intent forms.</w:t>
            </w:r>
          </w:p>
          <w:p>
            <w:pPr>
              <w:spacing w:before="0" w:after="120"/>
            </w:pPr>
          </w:p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PROGRAM ARCHITECTURE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30-60-90 Framework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Day 30: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GRR/NRR baseline + risk segmentation locked in. Every account tiered.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Day 60: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Integration health verified. Adoption benchmarked. Expansion signals documented.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Day 90: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First executive QBR completed. Joint 90-day success plan with mutual commitments.</w:t>
            </w:r>
          </w:p>
          <w:p>
            <w:pPr>
              <w:spacing w:before="0" w:after="120"/>
            </w:pPr>
          </w:p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SALES–CS ALIGNMENT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Three structural gaps I diagnose and fix in every CS program I inherit: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Inconsistent deal documentation at handoff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 formal handoff checkpoint between AE and CSM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 shared performance visibility post-close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Result: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41% reduction in post-sale escalations. One account expanded the quarter after alignment was fixed.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CORE COMPETENCIES</w:t>
            </w:r>
          </w:p>
          <w:tbl>
            <w:tblPr>
              <w:tblW w:type="dxa" w:w="88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528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Health Scoring &amp; Risk Detection</w:t>
                  </w:r>
                </w:p>
              </w:tc>
              <w:tc>
                <w:tcPr>
                  <w:tcW w:type="dxa" w:w="5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2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9A84C"/>
                      <w:sz w:val="17"/>
                      <w:szCs w:val="17"/>
                    </w:rPr>
                    <w:t xml:space="preserve">██████████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9D9D9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tbl>
            <w:tblPr>
              <w:tblW w:type="dxa" w:w="88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528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QBR Design &amp; Executive Engagement</w:t>
                  </w:r>
                </w:p>
              </w:tc>
              <w:tc>
                <w:tcPr>
                  <w:tcW w:type="dxa" w:w="5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2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9A84C"/>
                      <w:sz w:val="17"/>
                      <w:szCs w:val="17"/>
                    </w:rPr>
                    <w:t xml:space="preserve">██████████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9D9D9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tbl>
            <w:tblPr>
              <w:tblW w:type="dxa" w:w="88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528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CS Program Architecture</w:t>
                  </w:r>
                </w:p>
              </w:tc>
              <w:tc>
                <w:tcPr>
                  <w:tcW w:type="dxa" w:w="5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2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9A84C"/>
                      <w:sz w:val="17"/>
                      <w:szCs w:val="17"/>
                    </w:rPr>
                    <w:t xml:space="preserve">██████████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9D9D9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tbl>
            <w:tblPr>
              <w:tblW w:type="dxa" w:w="88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528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Team Development &amp; Coaching</w:t>
                  </w:r>
                </w:p>
              </w:tc>
              <w:tc>
                <w:tcPr>
                  <w:tcW w:type="dxa" w:w="5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2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9A84C"/>
                      <w:sz w:val="17"/>
                      <w:szCs w:val="17"/>
                    </w:rPr>
                    <w:t xml:space="preserve">██████████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9D9D9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tbl>
            <w:tblPr>
              <w:tblW w:type="dxa" w:w="88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528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Sales–CS Alignment</w:t>
                  </w:r>
                </w:p>
              </w:tc>
              <w:tc>
                <w:tcPr>
                  <w:tcW w:type="dxa" w:w="5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2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9A84C"/>
                      <w:sz w:val="17"/>
                      <w:szCs w:val="17"/>
                    </w:rPr>
                    <w:t xml:space="preserve">█████████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9D9D9"/>
                      <w:sz w:val="17"/>
                      <w:szCs w:val="17"/>
                    </w:rPr>
                    <w:t xml:space="preserve">░</w:t>
                  </w:r>
                </w:p>
              </w:tc>
            </w:tr>
          </w:tbl>
          <w:tbl>
            <w:tblPr>
              <w:tblW w:type="dxa" w:w="88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528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Onboarding &amp; TTV Optimization</w:t>
                  </w:r>
                </w:p>
              </w:tc>
              <w:tc>
                <w:tcPr>
                  <w:tcW w:type="dxa" w:w="5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2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9A84C"/>
                      <w:sz w:val="17"/>
                      <w:szCs w:val="17"/>
                    </w:rPr>
                    <w:t xml:space="preserve">█████████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9D9D9"/>
                      <w:sz w:val="17"/>
                      <w:szCs w:val="17"/>
                    </w:rPr>
                    <w:t xml:space="preserve">░</w:t>
                  </w:r>
                </w:p>
              </w:tc>
            </w:tr>
          </w:tbl>
          <w:tbl>
            <w:tblPr>
              <w:tblW w:type="dxa" w:w="88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528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Data Analytics &amp; Reporting</w:t>
                  </w:r>
                </w:p>
              </w:tc>
              <w:tc>
                <w:tcPr>
                  <w:tcW w:type="dxa" w:w="5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2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9A84C"/>
                      <w:sz w:val="17"/>
                      <w:szCs w:val="17"/>
                    </w:rPr>
                    <w:t xml:space="preserve">█████████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9D9D9"/>
                      <w:sz w:val="17"/>
                      <w:szCs w:val="17"/>
                    </w:rPr>
                    <w:t xml:space="preserve">░</w:t>
                  </w:r>
                </w:p>
              </w:tc>
            </w:tr>
          </w:tbl>
          <w:tbl>
            <w:tblPr>
              <w:tblW w:type="dxa" w:w="88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528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Cross-functional Leadership</w:t>
                  </w:r>
                </w:p>
              </w:tc>
              <w:tc>
                <w:tcPr>
                  <w:tcW w:type="dxa" w:w="5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2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9A84C"/>
                      <w:sz w:val="17"/>
                      <w:szCs w:val="17"/>
                    </w:rPr>
                    <w:t xml:space="preserve">█████████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9D9D9"/>
                      <w:sz w:val="17"/>
                      <w:szCs w:val="17"/>
                    </w:rPr>
                    <w:t xml:space="preserve">░</w:t>
                  </w:r>
                </w:p>
              </w:tc>
            </w:tr>
          </w:tbl>
          <w:p>
            <w:pPr>
              <w:spacing w:before="0" w:after="140"/>
            </w:pPr>
          </w:p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CREDENTIALS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MS Business Analytics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·  Syracuse University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BA Business Administration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·  Purdue University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Lean Six Sigma Green Belt  ·  Google Data Analytics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Women in Leadership  ·  Frontline Management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Series 6 &amp; 7  ·  CompTIA A+</w:t>
            </w:r>
          </w:p>
          <w:p>
            <w:pPr>
              <w:spacing w:before="0" w:after="140"/>
            </w:pPr>
          </w:p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PORTFOLIO SCALE</w:t>
            </w:r>
          </w:p>
          <w:tbl>
            <w:tblPr>
              <w:tblW w:type="dxa" w:w="4200"/>
              <w:tblBorders>
                <w:top w:val="single" w:color="D9D9D9" w:sz="1"/>
                <w:left w:val="single" w:color="D9D9D9" w:sz="1"/>
                <w:bottom w:val="single" w:color="D9D9D9" w:sz="1"/>
                <w:right w:val="single" w:color="D9D9D9" w:sz="1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2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D9D9D9" w:sz="1"/>
                  </w:tcBorders>
                  <w:shd w:fill="FAFBFF" w:val="clear"/>
                  <w:tcMar>
                    <w:top w:type="dxa" w:w="120"/>
                    <w:left w:type="dxa" w:w="60"/>
                    <w:bottom w:type="dxa" w:w="12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8"/>
                      <w:szCs w:val="28"/>
                    </w:rPr>
                    <w:t xml:space="preserve">200+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4"/>
                      <w:szCs w:val="14"/>
                    </w:rPr>
                    <w:t xml:space="preserve">Enterprise Accounts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BFF" w:val="clear"/>
                  <w:tcMar>
                    <w:top w:type="dxa" w:w="120"/>
                    <w:left w:type="dxa" w:w="60"/>
                    <w:bottom w:type="dxa" w:w="12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8"/>
                      <w:szCs w:val="28"/>
                    </w:rPr>
                    <w:t xml:space="preserve">20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95959"/>
                      <w:sz w:val="14"/>
                      <w:szCs w:val="14"/>
                    </w:rPr>
                    <w:t xml:space="preserve">CSMs Managed</w:t>
                  </w:r>
                </w:p>
              </w:tc>
            </w:tr>
          </w:tbl>
          <w:p/>
        </w:tc>
      </w:tr>
    </w:tbl>
    <w:p>
      <w:pPr>
        <w:spacing w:before="0" w:after="140"/>
      </w:pPr>
    </w:p>
    <w:p>
      <w:pPr>
        <w:pBdr>
          <w:bottom w:val="single" w:color="C9A84C" w:sz="6" w:space="1"/>
        </w:pBd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Chicago Metro, IL  ·  Open to Remote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crobins26@gmail.com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>linkedin.com/in/cernice-robinson  ·  crobins26.github.io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2026-02-22T23:11:00.043Z</dcterms:created>
  <dcterms:modified xsi:type="dcterms:W3CDTF">2026-02-22T23:11:00.044Z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