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20"/>
              <w:left w:type="dxa" w:w="360"/>
              <w:bottom w:type="dxa" w:w="180"/>
              <w:right w:type="dxa" w:w="36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6"/>
                <w:szCs w:val="46"/>
              </w:rPr>
              <w:t xml:space="preserve">CERNICE ROBINSON</w:t>
            </w:r>
          </w:p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2"/>
                <w:szCs w:val="22"/>
              </w:rPr>
              <w:t xml:space="preserve">Director of Customer Success &amp; Client Experience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AABBDD"/>
                <w:sz w:val="17"/>
                <w:szCs w:val="17"/>
              </w:rPr>
              <w:t xml:space="preserve">Chicago Metro Area  |  Open to Remote  |  crobins26@gmail.com  |  linkedin.com/in/cernice-robinson  |  crobins26.github.io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6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0"/>
                <w:szCs w:val="30"/>
              </w:rPr>
              <w:t xml:space="preserve">18%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CDDEE"/>
                <w:sz w:val="15"/>
                <w:szCs w:val="15"/>
              </w:rPr>
              <w:t xml:space="preserve">Churn Reduced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6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0"/>
                <w:szCs w:val="30"/>
              </w:rPr>
              <w:t xml:space="preserve">32%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CDDEE"/>
                <w:sz w:val="15"/>
                <w:szCs w:val="15"/>
              </w:rPr>
              <w:t xml:space="preserve">NPS Lift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6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0"/>
                <w:szCs w:val="30"/>
              </w:rPr>
              <w:t xml:space="preserve">27%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CDDEE"/>
                <w:sz w:val="15"/>
                <w:szCs w:val="15"/>
              </w:rPr>
              <w:t xml:space="preserve">Retention Gained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0"/>
                <w:szCs w:val="30"/>
              </w:rPr>
              <w:t xml:space="preserve">$4.2M+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CDDEE"/>
                <w:sz w:val="15"/>
                <w:szCs w:val="15"/>
              </w:rPr>
              <w:t xml:space="preserve">Revenue Protected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C9A84C" w:sz="16" w:space="4"/>
        </w:pBdr>
        <w:spacing w:before="180" w:after="0"/>
      </w:pPr>
      <w:r>
        <w:rPr>
          <w:rFonts w:ascii="Calibri" w:cs="Calibri" w:eastAsia="Calibri" w:hAnsi="Calibri"/>
          <w:b/>
          <w:bCs/>
          <w:color w:val="1F3864"/>
          <w:spacing w:val="60"/>
          <w:sz w:val="19"/>
          <w:szCs w:val="19"/>
        </w:rPr>
        <w:t xml:space="preserve">PROFESSIONAL SUMMARY</w:t>
      </w:r>
    </w:p>
    <w:p>
      <w:pPr>
        <w:spacing w:before="60" w:after="0"/>
      </w:pPr>
      <w: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Strategic Customer Success executive with 10+ years building and scaling enterprise CS programs across global BPO platforms, remote staffing solutions, and Fortune 500 account management. Expert at treating customer risk as two distinct profiles — vocal dissatisfaction requiring rapid containment and quiet disengagement requiring behavioral signal detection — and building the dual-lane health scoring systems that make the invisible visible before churn intent forms. Proven record reducing client churn 18%, improving NPS 32 points, protecting $4.2M+ in at-risk ARR, and lifting team SLA compliance from 74% to 96%. Skilled at building high-performing CS teams from the ground up, driving cross-functional alignment between Sales and Operations, and translating customer health data into forward-looking NRR growth strategies that speak directly to CFO-level outcomes.</w:t>
      </w:r>
    </w:p>
    <w:p>
      <w:pPr>
        <w:spacing w:before="100" w:after="0"/>
      </w:pPr>
      <w:r>
        <w:t xml:space="preserve"/>
      </w:r>
    </w:p>
    <w:p>
      <w:pPr>
        <w:pBdr>
          <w:bottom w:val="single" w:color="C9A84C" w:sz="16" w:space="4"/>
        </w:pBdr>
        <w:spacing w:before="180" w:after="0"/>
      </w:pPr>
      <w:r>
        <w:rPr>
          <w:rFonts w:ascii="Calibri" w:cs="Calibri" w:eastAsia="Calibri" w:hAnsi="Calibri"/>
          <w:b/>
          <w:bCs/>
          <w:color w:val="1F3864"/>
          <w:spacing w:val="60"/>
          <w:sz w:val="19"/>
          <w:szCs w:val="19"/>
        </w:rPr>
        <w:t xml:space="preserve">CORE COMPETENCIES</w:t>
      </w:r>
    </w:p>
    <w:p>
      <w:pPr>
        <w:spacing w:before="6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Dual-Lane Health Scoring &amp; Predictive Risk Detection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CS Program Architecture &amp; 30-60-90 Execution Frameworks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Client Retention, Churn Reduction &amp; NRR Growth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QBR Facilitation &amp; Executive Stakeholder Engagement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CSM Team Hiring, Coaching &amp; Performance Development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Enterprise Onboarding &amp; Time-to-Value Acceleration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Sales-CS Alignment &amp; Cross-Functional Handoff Design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Risk-Tiered Account Segmentation (ARR &amp; Engagement)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Global BPO Operations &amp; Remote Team Leadership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Expansion Revenue, Upsell &amp; Net Revenue Retention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GRR / NRR / CSAT / NPS Analytics &amp; Executive Dashboards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✓  Gainsight  |  Salesforce CRM  |  Tableau  |  SQL  |  Excel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C9A84C" w:sz="16" w:space="4"/>
        </w:pBdr>
        <w:spacing w:before="180" w:after="0"/>
      </w:pPr>
      <w:r>
        <w:rPr>
          <w:rFonts w:ascii="Calibri" w:cs="Calibri" w:eastAsia="Calibri" w:hAnsi="Calibri"/>
          <w:b/>
          <w:bCs/>
          <w:color w:val="1F3864"/>
          <w:spacing w:val="60"/>
          <w:sz w:val="19"/>
          <w:szCs w:val="19"/>
        </w:rPr>
        <w:t xml:space="preserve">PROFESSIONAL EXPERIENCE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Director of Customer Success &amp; Strategic Partnerships</w:t>
            </w:r>
          </w:p>
          <w:p>
            <w:pPr>
              <w:spacing w:before="20"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Global Market Foods (Ziyad Brothers Importing)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  ·  Remote / Bolingbrook, IL  ·  Enterprise CPG &amp; Retail Distribution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Feb 2024 – Present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Own end-to-end customer success strategy for a portfolio of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200+ enterprise accounts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— including Walmart, Kroger, Jewel-Osco, Meijer, Safeway, and Albertsons — managing full lifecycle from implementation and onboarding through QBR facilitation and renewal.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Built the organization's first formal CS program from the ground up: defined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dual-lane health scoring architecture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distinguishing vocal dissatisfaction (support spikes, NPS drops, escalations) from quietly disengaged accounts (usage decline, reduced stakeholder touchpoints, slower response cycles) — flagging composite risk when two or more behavioral indicators moved together, improving early-risk detection by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27%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within two quarters.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Implemented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risk-tiered account segmentation by ARR and engagement signals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, deploying distinct response motions for each risk profile: 24–48 hour rapid-containment and executive sponsor engagement for detractors; automated health score triggers, proactive value reviews, and targeted adoption plays for quietly disengaged accounts — reducing preventable churn by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18%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and protecting an estimated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$4.2M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in at-risk ARR.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Designed and executed a structured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30-60-90 onboarding framework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with 100% of new accounts entering a milestone-based implementation track; day-30 deliverables included full portfolio health scoring, baseline GRR/NRR documentation, and risk segmentation — reducing average onboarding completion time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30%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and improving early-stage CSAT across new accounts.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Built and manage a team of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4 client success associates and 2 operations coordinators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; established weekly 1:1 coaching cadences, individual KPI scorecards, and a monthly performance calibration process — lifting team SLA compliance from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74% to 96%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through structured accountability, not micromanagement.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Resolved a chronic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Sales-CS misalignment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around promotional launches by diagnosing three structural gaps — inconsistent deal documentation, no formal handoff checkpoint, and limited shared visibility into account priorities — then deploying a mandatory handoff template, cross-functional launch reviews, and a shared performance dashboard aligning both teams to execution quality metrics, not just bookings. Result: internal escalation volume dropped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41%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and the account expanded its program the following quarter.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Developed executive-facing retention dashboards in Tableau and Excel tracking NPS, CSAT, health scores, engagement velocity, and renewal risk signals — enabling C-suite visibility into client health and contributing to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100% renewal rates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on top-tier accounts.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Negotiated and executed 12+ strategic category partnership initiatives, generating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15% lift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in client category performance through consultative account planning and expansion revenue identification.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Senior Business Analyst &amp; Client Operations Manager</w:t>
            </w:r>
          </w:p>
          <w:p>
            <w:pPr>
              <w:spacing w:before="20"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Ziyad Brothers Importing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  ·  Cicero, IL  ·  Global Food Distribution &amp; Supply Chain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Oct 2022 – Feb 2024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Served as internal architect of customer success infrastructure — building the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 systems, KPI frameworks, and client health indicators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that became the foundation of the enterprise CS program launched in 2024, including the first formal definitions of health score thresholds, churn risk triggers, and engagement benchmarks.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Designed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diagnostic-first approach to client service workflow redesign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, partnering with global operations teams to identify upstream failure points — improving forecasting accuracy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34%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and enabling 21% YoY revenue growth through better demand planning and service reliability.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Built ROI tracking dashboards and performance analytics tools that surfaced revenue leakage patterns, reducing leakage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9%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and providing leadership with real-time account performance visibility.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Drove Lean Six Sigma-informed process improvements across client operations, eliminating redundant handoff steps and reducing average issue resolution time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22%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, directly improving client satisfaction outcomes.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Customer Success Manager — Remote BPO &amp; Staffing Operations</w:t>
            </w:r>
          </w:p>
          <w:p>
            <w:pPr>
              <w:spacing w:before="20"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ACD Direct (Remote BPO)  |  A Call Away Staffing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  ·  Hammond, IN  ·  Remote Workforce &amp; Outsourced Service Delivery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May 2020 – Aug 2023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Built and led customer success operations for two concurrent remote BPO engagements — managing client portfolios spanning call center outsourcing, administrative staffing, and distributed service delivery across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40+ active accounts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Applied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composite behavioral signal model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to detect at-risk accounts — monitoring engagement frequency, ticket volume trends, satisfaction trajectory, and SLA adherence data to flag emerging churn risk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60+ days before renewal windows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— resolving 89% of issues before they reached escalation stage and increasing customer retention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27%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Hired, trained, and managed a distributed CS team of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8 remote support specialists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; built onboarding curriculum, QA rubrics, and performance dashboards that reduced new hire ramp time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35%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and improved team CSAT contribution scores — by coaching to specific, measurable behaviors rather than general expectations.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Established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structured Sales-to-CS handoff protocol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with business development leadership — creating shared documentation standards, transition checklists, and activation milestones that reduced transition-related churn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19%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and improved new client activation rates.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Managed the full client lifecycle — from onboarding and implementation planning through ongoing success management, QBR facilitation, and renewal negotiation — achieving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95%+ CSAT ratings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across the portfolio.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Account Executive &amp; Client Relationship Manager</w:t>
            </w:r>
          </w:p>
          <w:p>
            <w:pPr>
              <w:spacing w:before="20"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OnePoint Logistics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  ·  Chicago, IL  ·  Freight &amp; Third-Party Logistics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Aug 2019 – Feb 2020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Managed strategic client relationships for freight and 3PL operations, ensuring SLA compliance and service excellence while identifying expansion opportunities — growing managed account portfolio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22%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through consultative needs assessment and proactive problem resolution.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Sales Team Lead &amp; Senior Strategic Account Executive</w:t>
            </w:r>
          </w:p>
          <w:p>
            <w:pPr>
              <w:spacing w:before="20"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Groupon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  ·  Chicago, IL  ·  Digital Commerce &amp; Merchant Partnerships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Apr 2016 – May 2019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Led and developed a team of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18–20 inside sales representatives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— overseeing daily performance coaching, quota tracking, call quality reviews, and individual development plans that contributed to consistent team attainment of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110%+ of collective revenue targets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Personally achieved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120%+ of individual revenue targets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 while managing team performance — demonstrating the dual capacity to lead people and deliver as an individual contributor in a high-velocity environment.</w:t>
      </w:r>
    </w:p>
    <w:p>
      <w:pPr>
        <w:pStyle w:val="ListParagraph"/>
        <w:numPr>
          <w:ilvl w:val="0"/>
          <w:numId w:val="2"/>
        </w:numPr>
        <w:spacing w:before="30" w:after="50"/>
        <w:ind w:left="440" w:hanging="24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Managed a portfolio of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80+ active merchant accounts</w:t>
      </w: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, facilitating monthly performance reviews, resolving escalations, and identifying upsell opportunities that drove measurable revenue growth.</w:t>
      </w:r>
    </w:p>
    <w:p>
      <w:pPr>
        <w:spacing w:before="100" w:after="0"/>
      </w:pPr>
      <w:r>
        <w:t xml:space="preserve"/>
      </w:r>
    </w:p>
    <w:p>
      <w:pPr>
        <w:pBdr>
          <w:bottom w:val="single" w:color="C9A84C" w:sz="16" w:space="4"/>
        </w:pBdr>
        <w:spacing w:before="180" w:after="0"/>
      </w:pPr>
      <w:r>
        <w:rPr>
          <w:rFonts w:ascii="Calibri" w:cs="Calibri" w:eastAsia="Calibri" w:hAnsi="Calibri"/>
          <w:b/>
          <w:bCs/>
          <w:color w:val="1F3864"/>
          <w:spacing w:val="60"/>
          <w:sz w:val="19"/>
          <w:szCs w:val="19"/>
        </w:rPr>
        <w:t xml:space="preserve">EDUCATION &amp; CERTIFICATIONS</w:t>
      </w:r>
    </w:p>
    <w:p>
      <w:pPr>
        <w:spacing w:before="6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4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Master of Science, Business Analytics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—  Syracuse University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Quantitative methods, predictive modeling, and data-driven business strategy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Syracuse University</w:t>
            </w:r>
          </w:p>
        </w:tc>
      </w:tr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Bachelor of Arts, Business Administration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—  Purdue University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Purdue University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Certifications: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Lean Six Sigma Green Belt  ·  Google Data Analytics  ·  Women in Leadership  ·  Frontline Management  ·  Series 6 &amp; 7  ·  CompTIA A+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before="30" w:after="50"/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2026-02-22T19:43:00.440Z</dcterms:created>
  <dcterms:modified xsi:type="dcterms:W3CDTF">2026-02-22T19:43:00.442Z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